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EEB8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文档分割质量评估报告</w:t>
      </w:r>
      <w:bookmarkStart w:id="0" w:name="_GoBack"/>
      <w:bookmarkEnd w:id="0"/>
    </w:p>
    <w:p w14:paraId="7F168BA3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输入数据概述</w:t>
      </w:r>
    </w:p>
    <w:p w14:paraId="58D07030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采用 </w:t>
      </w:r>
      <w:r>
        <w:rPr>
          <w:rFonts w:hint="default" w:ascii="Times New Roman" w:hAnsi="Times New Roman" w:eastAsia="宋体" w:cs="Times New Roman"/>
          <w:sz w:val="21"/>
          <w:szCs w:val="21"/>
        </w:rPr>
        <w:t>PubMed Central（PMC）Open Access（OA）</w:t>
      </w:r>
      <w:r>
        <w:rPr>
          <w:rFonts w:hint="eastAsia" w:ascii="宋体" w:hAnsi="宋体" w:eastAsia="宋体" w:cs="宋体"/>
          <w:sz w:val="21"/>
          <w:szCs w:val="21"/>
        </w:rPr>
        <w:t>医学文献数据库作为知识库数据来源，从约</w:t>
      </w:r>
      <w:r>
        <w:rPr>
          <w:rFonts w:hint="default" w:ascii="Times New Roman" w:hAnsi="Times New Roman" w:eastAsia="宋体" w:cs="Times New Roman"/>
          <w:sz w:val="21"/>
          <w:szCs w:val="21"/>
        </w:rPr>
        <w:t>300</w:t>
      </w:r>
      <w:r>
        <w:rPr>
          <w:rFonts w:hint="eastAsia" w:ascii="宋体" w:hAnsi="宋体" w:eastAsia="宋体" w:cs="宋体"/>
          <w:sz w:val="21"/>
          <w:szCs w:val="21"/>
        </w:rPr>
        <w:t>万篇开放获取医学文献中随机抽样</w:t>
      </w:r>
      <w:r>
        <w:rPr>
          <w:rFonts w:hint="default" w:ascii="Times New Roman" w:hAnsi="Times New Roman" w:eastAsia="宋体" w:cs="Times New Roman"/>
          <w:sz w:val="21"/>
          <w:szCs w:val="21"/>
        </w:rPr>
        <w:t>30,000</w:t>
      </w:r>
      <w:r>
        <w:rPr>
          <w:rFonts w:hint="eastAsia" w:ascii="宋体" w:hAnsi="宋体" w:eastAsia="宋体" w:cs="宋体"/>
          <w:sz w:val="21"/>
          <w:szCs w:val="21"/>
        </w:rPr>
        <w:t>篇进行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文档分割，将其预处理之后整理为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dataframe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，如下图所示：</w:t>
      </w:r>
    </w:p>
    <w:p w14:paraId="7A904B24">
      <w:pPr>
        <w:numPr>
          <w:ilvl w:val="0"/>
          <w:numId w:val="0"/>
        </w:numPr>
      </w:pPr>
      <w:r>
        <w:drawing>
          <wp:inline distT="0" distB="0" distL="114300" distR="114300">
            <wp:extent cx="5264150" cy="14687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DF44">
      <w:pPr>
        <w:numPr>
          <w:ilvl w:val="0"/>
          <w:numId w:val="0"/>
        </w:numPr>
      </w:pPr>
    </w:p>
    <w:p w14:paraId="3B53BFEF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文档分割策略</w:t>
      </w:r>
    </w:p>
    <w:p w14:paraId="62331D97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根据文档长度采用不同的处理方式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tbl>
      <w:tblPr>
        <w:tblStyle w:val="4"/>
        <w:tblW w:w="842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1931"/>
        <w:gridCol w:w="4644"/>
      </w:tblGrid>
      <w:tr w14:paraId="308D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01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64E8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文档长度</w:t>
            </w:r>
          </w:p>
        </w:tc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A9A4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处理策略</w:t>
            </w:r>
          </w:p>
        </w:tc>
        <w:tc>
          <w:tcPr>
            <w:tcW w:w="4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828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054C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3C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≤512 Tokens</w:t>
            </w:r>
          </w:p>
        </w:tc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96C7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整体保留</w:t>
            </w:r>
          </w:p>
        </w:tc>
        <w:tc>
          <w:tcPr>
            <w:tcW w:w="4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C55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标题与全文作为一个完整Document，不进行切分</w:t>
            </w:r>
          </w:p>
        </w:tc>
      </w:tr>
      <w:tr w14:paraId="32E06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  <w:tblCellSpacing w:w="15" w:type="dxa"/>
        </w:trPr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9D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&gt;512 Tokens</w:t>
            </w:r>
          </w:p>
        </w:tc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F16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重叠滑动窗口</w:t>
            </w:r>
          </w:p>
        </w:tc>
        <w:tc>
          <w:tcPr>
            <w:tcW w:w="4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C99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使用RecursiveCharacterTextSplitter按Token 长度进行切分</w:t>
            </w:r>
          </w:p>
        </w:tc>
      </w:tr>
      <w:tr w14:paraId="4383A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D4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极少数超长Chunk</w:t>
            </w:r>
          </w:p>
        </w:tc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EB0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Token-Level二次切分</w:t>
            </w:r>
          </w:p>
        </w:tc>
        <w:tc>
          <w:tcPr>
            <w:tcW w:w="4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0DB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保证所有Chunk满足模型输入限制</w:t>
            </w:r>
          </w:p>
        </w:tc>
      </w:tr>
      <w:tr w14:paraId="67DA9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90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文末过短Chunk</w:t>
            </w:r>
          </w:p>
        </w:tc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F1F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合并至前一Chunk</w:t>
            </w:r>
          </w:p>
        </w:tc>
        <w:tc>
          <w:tcPr>
            <w:tcW w:w="4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886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避免产生语义不足的小文本块</w:t>
            </w:r>
          </w:p>
        </w:tc>
      </w:tr>
    </w:tbl>
    <w:p w14:paraId="7B32A7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0188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分割函数使用的参数如下：</w:t>
      </w:r>
    </w:p>
    <w:tbl>
      <w:tblPr>
        <w:tblStyle w:val="4"/>
        <w:tblW w:w="84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3858"/>
        <w:gridCol w:w="3047"/>
      </w:tblGrid>
      <w:tr w14:paraId="100DE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76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DC0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配置项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27E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设置值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2AA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设计原因</w:t>
            </w:r>
          </w:p>
        </w:tc>
      </w:tr>
      <w:tr w14:paraId="5E41D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BF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Tokenizer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4D7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DeepSeek-R1-Distill-Qwen-7B Tokenizer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119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与后续Embedding Token统计保持一致</w:t>
            </w:r>
          </w:p>
        </w:tc>
      </w:tr>
      <w:tr w14:paraId="3F791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76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Chunk Size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746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500 Tokens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AB8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预留缓冲，避免超过模型 512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Token上限</w:t>
            </w:r>
          </w:p>
        </w:tc>
      </w:tr>
      <w:tr w14:paraId="7AD7B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9E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Chunk Overlap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EFC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80 Tokens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108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保持相邻Chunk上下文连续性，减少语义割裂</w:t>
            </w:r>
          </w:p>
        </w:tc>
      </w:tr>
      <w:tr w14:paraId="7F734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4B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Maximum Token Limit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674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512 Tokens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1602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与目标嵌入模型输入限制一致</w:t>
            </w:r>
          </w:p>
        </w:tc>
      </w:tr>
      <w:tr w14:paraId="5FDA0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3C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Minimum Chunk Length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448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30 Tokens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DCB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合并文末过短Chunk，减少低信息量文本</w:t>
            </w:r>
          </w:p>
        </w:tc>
      </w:tr>
      <w:tr w14:paraId="3DC4F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53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Splitter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F47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RecursiveCharacterTextSplitter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5A3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优先按段落、句子和空白切分，尽可能保持自然语义边界</w:t>
            </w:r>
          </w:p>
        </w:tc>
      </w:tr>
    </w:tbl>
    <w:p w14:paraId="732618D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其中，Chunk Size设置为500 Tokens，而非模型允许的最大长度512 Tokens，主要是为标题信息及Tokenizer编码误差预留缓冲空间，从而避免生成超过模型输入限制的文本块。</w:t>
      </w:r>
    </w:p>
    <w:p w14:paraId="4A3A27BE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元数据保留策略</w:t>
      </w:r>
    </w:p>
    <w:p w14:paraId="5DD67DFF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为保证检索结果能够准确追溯至原始文献，每个Chunk均保留原始文献的 Metadata。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3138"/>
      </w:tblGrid>
      <w:tr w14:paraId="614C1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BEF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Metadata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BD1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用途</w:t>
            </w:r>
          </w:p>
        </w:tc>
      </w:tr>
      <w:tr w14:paraId="5AE95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B4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chunk_id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5D7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Chunk 唯一标识</w:t>
            </w:r>
          </w:p>
        </w:tc>
      </w:tr>
      <w:tr w14:paraId="78414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4E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doc_id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BD5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原始文献唯一标识（PMID）</w:t>
            </w:r>
          </w:p>
        </w:tc>
      </w:tr>
      <w:tr w14:paraId="68873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55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chunk_index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47F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Chunk 在原文中的顺序</w:t>
            </w:r>
          </w:p>
        </w:tc>
      </w:tr>
      <w:tr w14:paraId="24248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9D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total_chunks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9AC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原文总 Chunk 数</w:t>
            </w:r>
          </w:p>
        </w:tc>
      </w:tr>
      <w:tr w14:paraId="76117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D2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source_title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AC2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文献标题</w:t>
            </w:r>
          </w:p>
        </w:tc>
      </w:tr>
      <w:tr w14:paraId="011BD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8" w:hRule="atLeast"/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14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journal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E9C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发表期刊</w:t>
            </w:r>
          </w:p>
        </w:tc>
      </w:tr>
      <w:tr w14:paraId="3131A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C3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pub_date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5FD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发表日期</w:t>
            </w:r>
          </w:p>
        </w:tc>
      </w:tr>
      <w:tr w14:paraId="7D7F6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06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pmid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E38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PubMed ID</w:t>
            </w:r>
          </w:p>
        </w:tc>
      </w:tr>
      <w:tr w14:paraId="21C30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8B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token_count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FBF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当前 Chunk Token 数</w:t>
            </w:r>
          </w:p>
        </w:tc>
      </w:tr>
    </w:tbl>
    <w:p w14:paraId="37F85DE7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1"/>
          <w:szCs w:val="21"/>
        </w:rPr>
      </w:pPr>
    </w:p>
    <w:p w14:paraId="00E10784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文档分割流程</w:t>
      </w:r>
    </w:p>
    <w:p w14:paraId="33B03404">
      <w:pPr>
        <w:bidi w:val="0"/>
        <w:rPr>
          <w:rFonts w:hint="default"/>
          <w:sz w:val="18"/>
          <w:szCs w:val="18"/>
          <w:lang w:val="en-US" w:eastAsia="zh-CN"/>
        </w:rPr>
      </w:pPr>
    </w:p>
    <w:p w14:paraId="6C94C9E8">
      <w:pPr>
        <w:bidi w:val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PMC XML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解析Metadata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（PMID、Title、Journal、Pub_date）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提取Full Text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文本清洗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（去除控制字符、标准化空白）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统计全文Token数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判断是否需要切分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├───────────────┐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│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≤512 Tokens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&gt;512 Tokens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│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整体保留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>RecursiveCharacterTextSplitter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滑动窗口切分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合并过短Chunk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Token长度二次校验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添加标题及元数据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▼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输出Chunk Dataset</w:t>
      </w:r>
    </w:p>
    <w:p w14:paraId="0AD1A10B">
      <w:pPr>
        <w:bidi w:val="0"/>
        <w:rPr>
          <w:rFonts w:hint="default" w:ascii="Times New Roman" w:hAnsi="Times New Roman" w:eastAsia="宋体" w:cs="Times New Roman"/>
          <w:sz w:val="21"/>
          <w:szCs w:val="21"/>
        </w:rPr>
      </w:pPr>
    </w:p>
    <w:p w14:paraId="20481C21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文本块统计分析</w:t>
      </w:r>
    </w:p>
    <w:p w14:paraId="7AF2F0BA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总体分析</w:t>
      </w:r>
    </w:p>
    <w:p w14:paraId="513E08A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文本分割结果统计表如下，</w:t>
      </w:r>
    </w:p>
    <w:p w14:paraId="6159D5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14495" cy="2672080"/>
            <wp:effectExtent l="0" t="0" r="19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6A3D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共生成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668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46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个文本块，平均每篇文献被分割为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23</w:t>
      </w:r>
      <w:r>
        <w:rPr>
          <w:rFonts w:hint="default" w:ascii="Times New Roman" w:hAnsi="Times New Roman" w:eastAsia="宋体" w:cs="Times New Roman"/>
          <w:sz w:val="24"/>
          <w:szCs w:val="24"/>
        </w:rPr>
        <w:t>个Chunk。所有Chunk均保留原始文献元数据，包括PMID、标题、期刊名称及发表日期，方便后续检索结果追溯。</w:t>
      </w:r>
    </w:p>
    <w:p w14:paraId="2061253F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模型长度限制验证</w:t>
      </w:r>
    </w:p>
    <w:p w14:paraId="30D11031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1"/>
          <w:szCs w:val="21"/>
        </w:rPr>
      </w:pPr>
      <w:r>
        <w:drawing>
          <wp:inline distT="0" distB="0" distL="114300" distR="114300">
            <wp:extent cx="4514850" cy="94297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79A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验证所有Chunk是否满足Embedding Model输入长度限制。目标嵌入模型支持最大输入长度为 512 Tokens。本次分割采用Chunk Size = 500，Chunk Overlap = 80的策略。最终仅有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个Chunk超过限制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。</w:t>
      </w:r>
    </w:p>
    <w:p w14:paraId="729550A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7E85EB24"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文本质量检查</w:t>
      </w:r>
    </w:p>
    <w:p w14:paraId="13D50C91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空文本检查</w:t>
      </w:r>
    </w:p>
    <w:p w14:paraId="2229BDE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00095" cy="187579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AF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所有Chunk均包含有效文本内容，未发现空文本块。</w:t>
      </w:r>
    </w:p>
    <w:p w14:paraId="0D25B18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0483666C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短文本检查</w:t>
      </w:r>
    </w:p>
    <w:p w14:paraId="711759A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Token数小于40的Chunk一共有25个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，随机抽样结果如下，</w:t>
      </w:r>
    </w:p>
    <w:p w14:paraId="76FD97AB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0340" cy="2917825"/>
            <wp:effectExtent l="0" t="0" r="1016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1357">
      <w:pPr>
        <w:bidi w:val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抽样发现，大部分短Chunk来源于文献标题或正文末尾残留文本，而非切分错误。标题 Chunk保留完整文献主题信息，有助于向量检索，因此予以保留。</w:t>
      </w:r>
    </w:p>
    <w:p w14:paraId="71ADC7FA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标题保留验证</w:t>
      </w:r>
    </w:p>
    <w:p w14:paraId="7F08219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随机抽取5个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hunk进行验证，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结果如下，</w:t>
      </w:r>
    </w:p>
    <w:p w14:paraId="0E241F73">
      <w:pPr>
        <w:bidi w:val="0"/>
      </w:pPr>
      <w:r>
        <w:drawing>
          <wp:inline distT="0" distB="0" distL="114300" distR="114300">
            <wp:extent cx="5274310" cy="2740660"/>
            <wp:effectExtent l="0" t="0" r="889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8D29">
      <w:pPr>
        <w:bidi w:val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所有</w:t>
      </w:r>
      <w:r>
        <w:rPr>
          <w:rFonts w:hint="default" w:ascii="Times New Roman" w:hAnsi="Times New Roman" w:eastAsia="宋体" w:cs="Times New Roman"/>
          <w:sz w:val="24"/>
          <w:szCs w:val="24"/>
        </w:rPr>
        <w:t>Chunk 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包含</w:t>
      </w:r>
      <w:r>
        <w:rPr>
          <w:rFonts w:hint="default" w:ascii="Times New Roman" w:hAnsi="Times New Roman" w:eastAsia="宋体" w:cs="Times New Roman"/>
          <w:sz w:val="24"/>
          <w:szCs w:val="24"/>
        </w:rPr>
        <w:t>对应文献标题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source_title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大部分Chunk在分割正文中保留了title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6085C46E">
      <w:pPr>
        <w:bidi w:val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E35EAFC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文本完整性检查</w:t>
      </w:r>
    </w:p>
    <w:p w14:paraId="29CF8F95">
      <w:pPr>
        <w:bidi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随机抽取10个Chunk查看其开头和结尾的内容，结果如下，</w:t>
      </w:r>
    </w:p>
    <w:p w14:paraId="03C65801">
      <w:pPr>
        <w:bidi w:val="0"/>
      </w:pPr>
      <w:r>
        <w:drawing>
          <wp:inline distT="0" distB="0" distL="114300" distR="114300">
            <wp:extent cx="5261610" cy="2424430"/>
            <wp:effectExtent l="0" t="0" r="889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15E7">
      <w:pPr>
        <w:bidi w:val="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RecursiveCharacterTextSplitter优先按照段落、句号及空格进行递归切分，大部分Chunk能够保持句子完整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31B8C35E">
      <w:pPr>
        <w:bidi w:val="0"/>
        <w:rPr>
          <w:rFonts w:hint="eastAsia" w:ascii="Times New Roman" w:hAnsi="Times New Roman" w:cs="Times New Roman"/>
          <w:lang w:val="en-US" w:eastAsia="zh-CN"/>
        </w:rPr>
      </w:pPr>
    </w:p>
    <w:p w14:paraId="0C702056">
      <w:pPr>
        <w:bidi w:val="0"/>
        <w:rPr>
          <w:rFonts w:hint="eastAsia" w:ascii="Times New Roman" w:hAnsi="Times New Roman" w:cs="Times New Roman"/>
          <w:lang w:val="en-US" w:eastAsia="zh-CN"/>
        </w:rPr>
      </w:pPr>
    </w:p>
    <w:p w14:paraId="23F3DFE1">
      <w:pPr>
        <w:bidi w:val="0"/>
        <w:rPr>
          <w:rFonts w:hint="eastAsia" w:ascii="Times New Roman" w:hAnsi="Times New Roman" w:cs="Times New Roman"/>
          <w:lang w:val="en-US" w:eastAsia="zh-CN"/>
        </w:rPr>
      </w:pPr>
    </w:p>
    <w:p w14:paraId="1011BC66">
      <w:pPr>
        <w:bidi w:val="0"/>
        <w:rPr>
          <w:rFonts w:hint="eastAsia" w:ascii="Times New Roman" w:hAnsi="Times New Roman" w:cs="Times New Roman"/>
          <w:lang w:val="en-US" w:eastAsia="zh-CN"/>
        </w:rPr>
      </w:pPr>
    </w:p>
    <w:p w14:paraId="4618C91D">
      <w:pPr>
        <w:bidi w:val="0"/>
        <w:rPr>
          <w:rFonts w:hint="eastAsia" w:ascii="Times New Roman" w:hAnsi="Times New Roman" w:cs="Times New Roman"/>
          <w:lang w:val="en-US" w:eastAsia="zh-CN"/>
        </w:rPr>
      </w:pPr>
    </w:p>
    <w:p w14:paraId="5C0131C2">
      <w:pPr>
        <w:bidi w:val="0"/>
        <w:rPr>
          <w:rFonts w:hint="eastAsia" w:ascii="Times New Roman" w:hAnsi="Times New Roman" w:cs="Times New Roman"/>
          <w:lang w:val="en-US" w:eastAsia="zh-CN"/>
        </w:rPr>
      </w:pPr>
    </w:p>
    <w:p w14:paraId="249C787E">
      <w:pPr>
        <w:bidi w:val="0"/>
        <w:rPr>
          <w:rFonts w:hint="eastAsia" w:ascii="Times New Roman" w:hAnsi="Times New Roman" w:cs="Times New Roman"/>
          <w:lang w:val="en-US" w:eastAsia="zh-CN"/>
        </w:rPr>
      </w:pPr>
    </w:p>
    <w:p w14:paraId="0647A899">
      <w:pPr>
        <w:bidi w:val="0"/>
        <w:rPr>
          <w:rFonts w:hint="eastAsia" w:ascii="Times New Roman" w:hAnsi="Times New Roman" w:cs="Times New Roman"/>
          <w:lang w:val="en-US" w:eastAsia="zh-CN"/>
        </w:rPr>
      </w:pPr>
    </w:p>
    <w:p w14:paraId="24246B92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多块文档检查</w:t>
      </w:r>
    </w:p>
    <w:p w14:paraId="2566C4E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96105" cy="1681480"/>
            <wp:effectExtent l="0" t="0" r="1079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8A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共有27,664个文献被分割成多块，占比97.9%。</w:t>
      </w:r>
    </w:p>
    <w:p w14:paraId="45416A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3E825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01515" cy="2418715"/>
            <wp:effectExtent l="0" t="0" r="698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B5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经检查，全部28,246篇文献被分割的Chunk编号均保持连续，没有缺失或错误。</w:t>
      </w:r>
    </w:p>
    <w:p w14:paraId="6E2AED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D7F838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4561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D0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total_chunks与实际Chunk数量也保持一致。</w:t>
      </w:r>
    </w:p>
    <w:p w14:paraId="6FA074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68C567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E0DE0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6024AD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随机抽样的多块文档结果如下，</w:t>
      </w:r>
    </w:p>
    <w:p w14:paraId="45A894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864485"/>
            <wp:effectExtent l="0" t="0" r="190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8404">
      <w:pPr>
        <w:numPr>
          <w:ilvl w:val="0"/>
          <w:numId w:val="0"/>
        </w:numPr>
        <w:ind w:leftChars="0"/>
      </w:pPr>
    </w:p>
    <w:p w14:paraId="35CE324D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重叠窗口验证</w:t>
      </w:r>
    </w:p>
    <w:p w14:paraId="28BA42E3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随机抽取5篇文档检查overlap情况如下，</w:t>
      </w:r>
    </w:p>
    <w:p w14:paraId="57B93A2F">
      <w:pPr>
        <w:bidi w:val="0"/>
      </w:pPr>
      <w:r>
        <w:drawing>
          <wp:inline distT="0" distB="0" distL="114300" distR="114300">
            <wp:extent cx="5262880" cy="2821305"/>
            <wp:effectExtent l="0" t="0" r="762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C085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4766D4"/>
    <w:multiLevelType w:val="multilevel"/>
    <w:tmpl w:val="B44766D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306EF"/>
    <w:rsid w:val="7686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1146</Words>
  <Characters>1898</Characters>
  <Lines>0</Lines>
  <Paragraphs>0</Paragraphs>
  <TotalTime>89</TotalTime>
  <ScaleCrop>false</ScaleCrop>
  <LinksUpToDate>false</LinksUpToDate>
  <CharactersWithSpaces>2000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2026-06-29T22:46:00Z</dcterms:created>
  <dc:creator>xukeh</dc:creator>
  <cp:lastModifiedBy>King James</cp:lastModifiedBy>
  <dcterms:modified xsi:type="dcterms:W3CDTF">2026-07-14T14:29:32Z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eyJoZGlkIjoiNTc2Mjc5ZTQ2MDE5ZjA1NGVjNTUzMmIwNDkyYTQ0ODUiLCJ1c2VySWQiOiI2OTU4MTE5MDMifQ==</vt:lpwstr>
  </property>
  <property fmtid="{D5CDD505-2E9C-101B-9397-08002B2CF9AE}" pid="4" name="ICV">
    <vt:lpwstr>FAB225B6D39A497B93F759996EDE803B_12</vt:lpwstr>
  </property>
</Properties>
</file>