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F0AA3A">
      <w:pPr>
        <w:jc w:val="center"/>
        <w:rPr>
          <w:rFonts w:hint="eastAsia"/>
          <w:sz w:val="44"/>
          <w:szCs w:val="44"/>
          <w:lang w:val="en-US" w:eastAsia="zh-CN"/>
        </w:rPr>
      </w:pPr>
      <w:r>
        <w:rPr>
          <w:rFonts w:hint="eastAsia"/>
          <w:sz w:val="44"/>
          <w:szCs w:val="44"/>
          <w:lang w:val="en-US" w:eastAsia="zh-CN"/>
        </w:rPr>
        <w:t>向量化与索引构建</w:t>
      </w:r>
    </w:p>
    <w:p w14:paraId="4C08D986">
      <w:pPr>
        <w:numPr>
          <w:ilvl w:val="0"/>
          <w:numId w:val="1"/>
        </w:numPr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任务概述</w:t>
      </w:r>
    </w:p>
    <w:p w14:paraId="6608213F">
      <w:pPr>
        <w:numPr>
          <w:ilvl w:val="0"/>
          <w:numId w:val="0"/>
        </w:numPr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本阶段使用</w:t>
      </w:r>
      <w:r>
        <w:rPr>
          <w:rStyle w:val="5"/>
          <w:rFonts w:hint="default" w:ascii="Times New Roman" w:hAnsi="Times New Roman" w:eastAsia="宋体" w:cs="Times New Roman"/>
          <w:sz w:val="21"/>
          <w:szCs w:val="21"/>
        </w:rPr>
        <w:t>BAAI/bge-small-en-v1.5</w:t>
      </w:r>
      <w:r>
        <w:rPr>
          <w:rFonts w:hint="default" w:ascii="Times New Roman" w:hAnsi="Times New Roman" w:eastAsia="宋体" w:cs="Times New Roman"/>
          <w:sz w:val="21"/>
          <w:szCs w:val="21"/>
        </w:rPr>
        <w:t>对PMC/PubMed医学文献Chunk生成向量，并使用ChromaDB构建持久化向量索引。</w:t>
      </w:r>
    </w:p>
    <w:p w14:paraId="7D3000DB">
      <w:pPr>
        <w:numPr>
          <w:ilvl w:val="0"/>
          <w:numId w:val="0"/>
        </w:numPr>
        <w:rPr>
          <w:rFonts w:hint="default" w:ascii="Times New Roman" w:hAnsi="Times New Roman" w:eastAsia="宋体" w:cs="Times New Roman"/>
          <w:sz w:val="21"/>
          <w:szCs w:val="21"/>
        </w:rPr>
      </w:pPr>
    </w:p>
    <w:p w14:paraId="5E714DCD">
      <w:pPr>
        <w:numPr>
          <w:ilvl w:val="0"/>
          <w:numId w:val="0"/>
        </w:numPr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主要验证目标包括：</w:t>
      </w:r>
    </w:p>
    <w:p w14:paraId="65180AC0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向量数量是否与有效Chunk数量一致；</w:t>
      </w:r>
    </w:p>
    <w:p w14:paraId="3BCDE54A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文档向量及查询向量维度是否正确；</w:t>
      </w:r>
    </w:p>
    <w:p w14:paraId="191A67D7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医学自然语言查询能否返回相关文献片段；</w:t>
      </w:r>
    </w:p>
    <w:p w14:paraId="6609D7AC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期刊、发表年份等元数据过滤是否正常；</w:t>
      </w:r>
    </w:p>
    <w:p w14:paraId="78018E40">
      <w:pPr>
        <w:numPr>
          <w:ilvl w:val="0"/>
          <w:numId w:val="2"/>
        </w:numPr>
        <w:ind w:left="420" w:leftChars="0" w:hanging="420" w:firstLineChars="0"/>
        <w:rPr>
          <w:rFonts w:hint="eastAsia" w:ascii="Times New Roman" w:hAnsi="Times New Roman" w:eastAsia="宋体" w:cs="Times New Roman"/>
          <w:sz w:val="21"/>
          <w:szCs w:val="21"/>
          <w:lang w:eastAsia="zh-CN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自相似性和精确向量匹配是否正常</w:t>
      </w:r>
      <w:r>
        <w:rPr>
          <w:rFonts w:hint="eastAsia" w:ascii="Times New Roman" w:hAnsi="Times New Roman" w:eastAsia="宋体" w:cs="Times New Roman"/>
          <w:sz w:val="21"/>
          <w:szCs w:val="21"/>
          <w:lang w:eastAsia="zh-CN"/>
        </w:rPr>
        <w:t>；</w:t>
      </w:r>
    </w:p>
    <w:p w14:paraId="4100FFB9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空查询、超长查询等边界情况是否得到正确处理。</w:t>
      </w:r>
    </w:p>
    <w:p w14:paraId="2280368B">
      <w:pPr>
        <w:numPr>
          <w:numId w:val="0"/>
        </w:numPr>
        <w:rPr>
          <w:rFonts w:hint="default" w:ascii="宋体" w:hAnsi="宋体" w:eastAsia="宋体" w:cs="宋体"/>
          <w:sz w:val="21"/>
          <w:szCs w:val="21"/>
          <w:lang w:val="en-US" w:eastAsia="zh-CN"/>
        </w:rPr>
      </w:pPr>
    </w:p>
    <w:p w14:paraId="32B78237">
      <w:pPr>
        <w:numPr>
          <w:ilvl w:val="0"/>
          <w:numId w:val="1"/>
        </w:numPr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系统配置</w:t>
      </w:r>
    </w:p>
    <w:p w14:paraId="3D8B23C1">
      <w:pPr>
        <w:numPr>
          <w:numId w:val="0"/>
        </w:numPr>
        <w:rPr>
          <w:rFonts w:hint="default" w:ascii="宋体" w:hAnsi="宋体" w:eastAsia="宋体" w:cs="宋体"/>
          <w:sz w:val="21"/>
          <w:szCs w:val="21"/>
          <w:lang w:val="en-US" w:eastAsia="zh-CN"/>
        </w:rPr>
      </w:pP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20"/>
        <w:gridCol w:w="2452"/>
      </w:tblGrid>
      <w:tr w14:paraId="69C75D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0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71EE99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  <w:t>配置项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275B5D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  <w:t>配置值</w:t>
            </w:r>
          </w:p>
        </w:tc>
      </w:tr>
      <w:tr w14:paraId="7590C7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28F136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嵌入模型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8B39E8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Style w:val="5"/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BAAI/bge-small-en-v1.5</w:t>
            </w:r>
          </w:p>
        </w:tc>
      </w:tr>
      <w:tr w14:paraId="68D205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857FB2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向量维度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50EA34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384</w:t>
            </w:r>
          </w:p>
        </w:tc>
      </w:tr>
      <w:tr w14:paraId="70595E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92896A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向量类型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9E4CF8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Style w:val="5"/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float32</w:t>
            </w:r>
          </w:p>
        </w:tc>
      </w:tr>
      <w:tr w14:paraId="1B2A0C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4B52D2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运行设备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F57308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CUDA GPU</w:t>
            </w:r>
          </w:p>
        </w:tc>
      </w:tr>
      <w:tr w14:paraId="6DC5E8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6DCDEF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向量数据库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36A462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ChromaDB</w:t>
            </w:r>
          </w:p>
        </w:tc>
      </w:tr>
      <w:tr w14:paraId="55D59E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E2F9B9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距离度量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9A3603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Cosine</w:t>
            </w:r>
          </w:p>
        </w:tc>
      </w:tr>
      <w:tr w14:paraId="61BBF6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1552C7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Embedding Batch Size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210500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32</w:t>
            </w:r>
          </w:p>
        </w:tc>
      </w:tr>
      <w:tr w14:paraId="2405F7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B552CF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Insert Batch Size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AAEE9E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1000</w:t>
            </w:r>
          </w:p>
        </w:tc>
      </w:tr>
      <w:tr w14:paraId="5CE2E1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2151E3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Collection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0DA81C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Style w:val="5"/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pubmed_fulltext_bge_small</w:t>
            </w:r>
          </w:p>
        </w:tc>
      </w:tr>
    </w:tbl>
    <w:p w14:paraId="3C103872">
      <w:pPr>
        <w:numPr>
          <w:numId w:val="0"/>
        </w:numPr>
        <w:rPr>
          <w:rFonts w:hint="default" w:ascii="宋体" w:hAnsi="宋体" w:eastAsia="宋体" w:cs="宋体"/>
          <w:sz w:val="21"/>
          <w:szCs w:val="21"/>
          <w:lang w:val="en-US" w:eastAsia="zh-CN"/>
        </w:rPr>
      </w:pPr>
    </w:p>
    <w:p w14:paraId="30F0EEBB">
      <w:pPr>
        <w:numPr>
          <w:numId w:val="0"/>
        </w:numPr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z w:val="21"/>
          <w:szCs w:val="21"/>
        </w:rPr>
        <w:t>每条向量记录保留以下元数据：</w:t>
      </w:r>
    </w:p>
    <w:p w14:paraId="03C979AF">
      <w:pPr>
        <w:numPr>
          <w:numId w:val="0"/>
        </w:numP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doc_id</w:t>
      </w:r>
    </w:p>
    <w:p w14:paraId="4825FD72">
      <w:pPr>
        <w:numPr>
          <w:numId w:val="0"/>
        </w:numP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chunk_index</w:t>
      </w:r>
    </w:p>
    <w:p w14:paraId="7D6E497A">
      <w:pPr>
        <w:numPr>
          <w:numId w:val="0"/>
        </w:numP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total_chunks</w:t>
      </w:r>
    </w:p>
    <w:p w14:paraId="2BFEE534">
      <w:pPr>
        <w:numPr>
          <w:numId w:val="0"/>
        </w:numP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source_title</w:t>
      </w:r>
    </w:p>
    <w:p w14:paraId="65952CC4">
      <w:pPr>
        <w:numPr>
          <w:numId w:val="0"/>
        </w:numP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journal</w:t>
      </w:r>
    </w:p>
    <w:p w14:paraId="10223DB8">
      <w:pPr>
        <w:numPr>
          <w:numId w:val="0"/>
        </w:numP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pub_date</w:t>
      </w:r>
    </w:p>
    <w:p w14:paraId="4F0338CC">
      <w:pPr>
        <w:numPr>
          <w:numId w:val="0"/>
        </w:numP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publication_year</w:t>
      </w:r>
    </w:p>
    <w:p w14:paraId="662C30A4">
      <w:pPr>
        <w:numPr>
          <w:numId w:val="0"/>
        </w:numP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pmid</w:t>
      </w:r>
    </w:p>
    <w:p w14:paraId="725FB66F">
      <w:pPr>
        <w:numPr>
          <w:numId w:val="0"/>
        </w:numP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token_count</w:t>
      </w:r>
    </w:p>
    <w:p w14:paraId="57221B40">
      <w:pPr>
        <w:numPr>
          <w:numId w:val="0"/>
        </w:numP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split_strategy</w:t>
      </w:r>
    </w:p>
    <w:p w14:paraId="0BE8264D">
      <w:pPr>
        <w:numPr>
          <w:numId w:val="0"/>
        </w:numP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</w:p>
    <w:p w14:paraId="3AF32C08">
      <w:pPr>
        <w:numPr>
          <w:numId w:val="0"/>
        </w:numP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</w:p>
    <w:p w14:paraId="7534C0D2">
      <w:pPr>
        <w:numPr>
          <w:ilvl w:val="0"/>
          <w:numId w:val="1"/>
        </w:numPr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索引数量统计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75"/>
        <w:gridCol w:w="815"/>
        <w:gridCol w:w="725"/>
      </w:tblGrid>
      <w:tr w14:paraId="034E4C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0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FC53BF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指标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B8C347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数值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F9EB21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状态</w:t>
            </w:r>
          </w:p>
        </w:tc>
      </w:tr>
      <w:tr w14:paraId="64BB36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E32D338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有效Chunk数量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DC58687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668,461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42ACCE2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基准</w:t>
            </w:r>
          </w:p>
        </w:tc>
      </w:tr>
      <w:tr w14:paraId="652CE9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588B2BA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实际索引向量数量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9887CCB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668,461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0DB9443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实际值</w:t>
            </w:r>
          </w:p>
        </w:tc>
      </w:tr>
      <w:tr w14:paraId="38DC31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CADD20E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向量维度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33503C9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384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52D094C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通过</w:t>
            </w:r>
          </w:p>
        </w:tc>
      </w:tr>
    </w:tbl>
    <w:p w14:paraId="1D2C363B">
      <w:pPr>
        <w:numPr>
          <w:numId w:val="0"/>
        </w:numPr>
        <w:ind w:left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596003E4">
      <w:pPr>
        <w:numPr>
          <w:ilvl w:val="0"/>
          <w:numId w:val="1"/>
        </w:numPr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索引数量统计</w:t>
      </w:r>
    </w:p>
    <w:p w14:paraId="4AC66B90">
      <w:pPr>
        <w:numPr>
          <w:ilvl w:val="1"/>
          <w:numId w:val="1"/>
        </w:numPr>
        <w:ind w:left="0" w:leftChars="0" w:firstLine="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文档向量</w:t>
      </w:r>
    </w:p>
    <w:p w14:paraId="07C37344">
      <w:pPr>
        <w:numPr>
          <w:numId w:val="0"/>
        </w:numPr>
        <w:ind w:leftChars="0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对8个文档Chunk生成向量：</w:t>
      </w:r>
    </w:p>
    <w:p w14:paraId="7D994D5A">
      <w:pPr>
        <w:numPr>
          <w:numId w:val="0"/>
        </w:numPr>
        <w:ind w:leftChars="0"/>
      </w:pPr>
      <w:r>
        <w:drawing>
          <wp:inline distT="0" distB="0" distL="114300" distR="114300">
            <wp:extent cx="3978275" cy="2157730"/>
            <wp:effectExtent l="0" t="0" r="9525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78275" cy="2157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B69DE8">
      <w:pPr>
        <w:numPr>
          <w:numId w:val="0"/>
        </w:numPr>
        <w:ind w:left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1"/>
          <w:szCs w:val="21"/>
        </w:rPr>
        <w:t>结果表明文档向量维度和数据类型正确</w:t>
      </w:r>
      <w:r>
        <w:rPr>
          <w:rFonts w:ascii="宋体" w:hAnsi="宋体" w:eastAsia="宋体" w:cs="宋体"/>
          <w:sz w:val="24"/>
          <w:szCs w:val="24"/>
        </w:rPr>
        <w:t>。</w:t>
      </w:r>
    </w:p>
    <w:p w14:paraId="6FFD875A">
      <w:pPr>
        <w:numPr>
          <w:numId w:val="0"/>
        </w:numPr>
        <w:ind w:leftChars="0"/>
        <w:rPr>
          <w:rFonts w:ascii="宋体" w:hAnsi="宋体" w:eastAsia="宋体" w:cs="宋体"/>
          <w:sz w:val="24"/>
          <w:szCs w:val="24"/>
        </w:rPr>
      </w:pPr>
    </w:p>
    <w:p w14:paraId="35C4CBB9">
      <w:pPr>
        <w:numPr>
          <w:ilvl w:val="1"/>
          <w:numId w:val="1"/>
        </w:numPr>
        <w:ind w:left="0" w:leftChars="0" w:firstLine="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查询向量</w:t>
      </w:r>
    </w:p>
    <w:p w14:paraId="7BC19A84">
      <w:pPr>
        <w:numPr>
          <w:numId w:val="0"/>
        </w:numPr>
        <w:ind w:leftChars="0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>测试查询：</w:t>
      </w:r>
    </w:p>
    <w:p w14:paraId="5727B795">
      <w:pPr>
        <w:numPr>
          <w:numId w:val="0"/>
        </w:numPr>
        <w:ind w:leftChars="0"/>
      </w:pPr>
      <w:r>
        <w:drawing>
          <wp:inline distT="0" distB="0" distL="114300" distR="114300">
            <wp:extent cx="4820285" cy="1788795"/>
            <wp:effectExtent l="0" t="0" r="5715" b="190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20285" cy="1788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F7C464">
      <w:pPr>
        <w:numPr>
          <w:numId w:val="0"/>
        </w:numPr>
        <w:ind w:leftChars="0"/>
        <w:rPr>
          <w:rFonts w:hint="eastAsia" w:ascii="宋体" w:hAnsi="宋体" w:eastAsia="宋体" w:cs="宋体"/>
          <w:sz w:val="21"/>
          <w:szCs w:val="21"/>
          <w:lang w:eastAsia="zh-CN"/>
        </w:rPr>
      </w:pPr>
      <w:r>
        <w:rPr>
          <w:rFonts w:ascii="宋体" w:hAnsi="宋体" w:eastAsia="宋体" w:cs="宋体"/>
          <w:sz w:val="21"/>
          <w:szCs w:val="21"/>
        </w:rPr>
        <w:t>查询向量与文档向量维度一致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。</w:t>
      </w:r>
    </w:p>
    <w:p w14:paraId="1C273F5E">
      <w:pPr>
        <w:numPr>
          <w:numId w:val="0"/>
        </w:numPr>
        <w:ind w:leftChars="0"/>
        <w:rPr>
          <w:rFonts w:hint="eastAsia" w:ascii="宋体" w:hAnsi="宋体" w:eastAsia="宋体" w:cs="宋体"/>
          <w:sz w:val="21"/>
          <w:szCs w:val="21"/>
          <w:lang w:eastAsia="zh-CN"/>
        </w:rPr>
      </w:pPr>
    </w:p>
    <w:p w14:paraId="357EE415">
      <w:pPr>
        <w:numPr>
          <w:numId w:val="0"/>
        </w:numPr>
        <w:ind w:leftChars="0"/>
        <w:rPr>
          <w:rFonts w:hint="eastAsia" w:ascii="宋体" w:hAnsi="宋体" w:eastAsia="宋体" w:cs="宋体"/>
          <w:sz w:val="21"/>
          <w:szCs w:val="21"/>
          <w:lang w:eastAsia="zh-CN"/>
        </w:rPr>
      </w:pPr>
    </w:p>
    <w:p w14:paraId="5F14230E">
      <w:pPr>
        <w:numPr>
          <w:numId w:val="0"/>
        </w:numPr>
        <w:ind w:leftChars="0"/>
        <w:rPr>
          <w:rFonts w:hint="eastAsia" w:ascii="宋体" w:hAnsi="宋体" w:eastAsia="宋体" w:cs="宋体"/>
          <w:sz w:val="21"/>
          <w:szCs w:val="21"/>
          <w:lang w:eastAsia="zh-CN"/>
        </w:rPr>
      </w:pPr>
    </w:p>
    <w:p w14:paraId="5FA47B48">
      <w:pPr>
        <w:numPr>
          <w:numId w:val="0"/>
        </w:numPr>
        <w:ind w:leftChars="0"/>
        <w:rPr>
          <w:rFonts w:hint="eastAsia" w:ascii="宋体" w:hAnsi="宋体" w:eastAsia="宋体" w:cs="宋体"/>
          <w:sz w:val="21"/>
          <w:szCs w:val="21"/>
          <w:lang w:eastAsia="zh-CN"/>
        </w:rPr>
      </w:pPr>
    </w:p>
    <w:p w14:paraId="5F4EB70F">
      <w:pPr>
        <w:numPr>
          <w:numId w:val="0"/>
        </w:numPr>
        <w:ind w:leftChars="0"/>
        <w:rPr>
          <w:rFonts w:hint="eastAsia" w:ascii="宋体" w:hAnsi="宋体" w:eastAsia="宋体" w:cs="宋体"/>
          <w:sz w:val="21"/>
          <w:szCs w:val="21"/>
          <w:lang w:eastAsia="zh-CN"/>
        </w:rPr>
      </w:pPr>
    </w:p>
    <w:p w14:paraId="3A96E424">
      <w:pPr>
        <w:numPr>
          <w:numId w:val="0"/>
        </w:numPr>
        <w:ind w:leftChars="0"/>
        <w:rPr>
          <w:rFonts w:hint="eastAsia" w:ascii="宋体" w:hAnsi="宋体" w:eastAsia="宋体" w:cs="宋体"/>
          <w:sz w:val="21"/>
          <w:szCs w:val="21"/>
          <w:lang w:eastAsia="zh-CN"/>
        </w:rPr>
      </w:pPr>
    </w:p>
    <w:p w14:paraId="4AF81925">
      <w:pPr>
        <w:numPr>
          <w:ilvl w:val="0"/>
          <w:numId w:val="1"/>
        </w:numPr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医学语义检索验证</w:t>
      </w:r>
    </w:p>
    <w:p w14:paraId="78293DE0">
      <w:pPr>
        <w:numPr>
          <w:numId w:val="0"/>
        </w:numPr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z w:val="21"/>
          <w:szCs w:val="21"/>
        </w:rPr>
        <w:t>测试查询</w:t>
      </w:r>
    </w:p>
    <w:p w14:paraId="45C2881F">
      <w:pPr>
        <w:numPr>
          <w:numId w:val="0"/>
        </w:numPr>
      </w:pPr>
      <w:r>
        <w:drawing>
          <wp:inline distT="0" distB="0" distL="114300" distR="114300">
            <wp:extent cx="5274310" cy="2080895"/>
            <wp:effectExtent l="0" t="0" r="8890" b="190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80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4836FF">
      <w:pPr>
        <w:numPr>
          <w:numId w:val="0"/>
        </w:numPr>
        <w:rPr>
          <w:rFonts w:hint="default"/>
          <w:lang w:val="en-US" w:eastAsia="zh-CN"/>
        </w:rPr>
      </w:pPr>
    </w:p>
    <w:p w14:paraId="1E066045">
      <w:pPr>
        <w:numPr>
          <w:numId w:val="0"/>
        </w:numPr>
        <w:ind w:leftChars="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z w:val="21"/>
          <w:szCs w:val="21"/>
        </w:rPr>
        <w:t>系统返回5条医学文献片段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66"/>
        <w:gridCol w:w="959"/>
        <w:gridCol w:w="3997"/>
        <w:gridCol w:w="1959"/>
        <w:gridCol w:w="915"/>
      </w:tblGrid>
      <w:tr w14:paraId="5D1969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410FBA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  <w:t>Rank</w:t>
            </w:r>
          </w:p>
        </w:tc>
        <w:tc>
          <w:tcPr>
            <w:tcW w:w="0" w:type="auto"/>
            <w:shd w:val="clear"/>
            <w:vAlign w:val="center"/>
          </w:tcPr>
          <w:p w14:paraId="5BE8AF5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  <w:t>Similarity</w:t>
            </w:r>
          </w:p>
        </w:tc>
        <w:tc>
          <w:tcPr>
            <w:tcW w:w="0" w:type="auto"/>
            <w:shd w:val="clear"/>
            <w:vAlign w:val="center"/>
          </w:tcPr>
          <w:p w14:paraId="7E10EBA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  <w:t>文献标题</w:t>
            </w:r>
          </w:p>
        </w:tc>
        <w:tc>
          <w:tcPr>
            <w:tcW w:w="0" w:type="auto"/>
            <w:shd w:val="clear"/>
            <w:vAlign w:val="center"/>
          </w:tcPr>
          <w:p w14:paraId="4D0022D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  <w:t>期刊/年份</w:t>
            </w:r>
          </w:p>
        </w:tc>
        <w:tc>
          <w:tcPr>
            <w:tcW w:w="0" w:type="auto"/>
            <w:shd w:val="clear"/>
            <w:vAlign w:val="center"/>
          </w:tcPr>
          <w:p w14:paraId="0438D2A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  <w:t>PMID</w:t>
            </w:r>
          </w:p>
        </w:tc>
      </w:tr>
      <w:tr w14:paraId="2FD5E3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34D283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w14:paraId="6BED88A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0.8105</w:t>
            </w:r>
          </w:p>
        </w:tc>
        <w:tc>
          <w:tcPr>
            <w:tcW w:w="0" w:type="auto"/>
            <w:shd w:val="clear"/>
            <w:vAlign w:val="center"/>
          </w:tcPr>
          <w:p w14:paraId="3543359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Differentially expressed miRNAs in sepsis-induced acute kidney injury target oxidative stress and mitochondrial dysfunction pathways</w:t>
            </w:r>
          </w:p>
        </w:tc>
        <w:tc>
          <w:tcPr>
            <w:tcW w:w="0" w:type="auto"/>
            <w:shd w:val="clear"/>
            <w:vAlign w:val="center"/>
          </w:tcPr>
          <w:p w14:paraId="2C25BF7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PLoS ONE / 2017</w:t>
            </w:r>
          </w:p>
        </w:tc>
        <w:tc>
          <w:tcPr>
            <w:tcW w:w="0" w:type="auto"/>
            <w:shd w:val="clear"/>
            <w:vAlign w:val="center"/>
          </w:tcPr>
          <w:p w14:paraId="217CED0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28296904</w:t>
            </w:r>
          </w:p>
        </w:tc>
      </w:tr>
      <w:tr w14:paraId="52DDE8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5CA201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/>
            <w:vAlign w:val="center"/>
          </w:tcPr>
          <w:p w14:paraId="1E9E1FC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0.7973</w:t>
            </w:r>
          </w:p>
        </w:tc>
        <w:tc>
          <w:tcPr>
            <w:tcW w:w="0" w:type="auto"/>
            <w:shd w:val="clear"/>
            <w:vAlign w:val="center"/>
          </w:tcPr>
          <w:p w14:paraId="6D22E58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ESICM LIVES 2016: part three</w:t>
            </w:r>
          </w:p>
        </w:tc>
        <w:tc>
          <w:tcPr>
            <w:tcW w:w="0" w:type="auto"/>
            <w:shd w:val="clear"/>
            <w:vAlign w:val="center"/>
          </w:tcPr>
          <w:p w14:paraId="1ABBEBA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Intensive Care Medicine Experimental / 2016</w:t>
            </w:r>
          </w:p>
        </w:tc>
        <w:tc>
          <w:tcPr>
            <w:tcW w:w="0" w:type="auto"/>
            <w:shd w:val="clear"/>
            <w:vAlign w:val="center"/>
          </w:tcPr>
          <w:p w14:paraId="4460833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缺失</w:t>
            </w:r>
          </w:p>
        </w:tc>
      </w:tr>
      <w:tr w14:paraId="1EE58E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561A5B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/>
            <w:vAlign w:val="center"/>
          </w:tcPr>
          <w:p w14:paraId="6E6E4C2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0.7941</w:t>
            </w:r>
          </w:p>
        </w:tc>
        <w:tc>
          <w:tcPr>
            <w:tcW w:w="0" w:type="auto"/>
            <w:shd w:val="clear"/>
            <w:vAlign w:val="center"/>
          </w:tcPr>
          <w:p w14:paraId="394019F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Differentially expressed miRNAs in sepsis-induced acute kidney injury target oxidative stress and mitochondrial dysfunction pathways</w:t>
            </w:r>
          </w:p>
        </w:tc>
        <w:tc>
          <w:tcPr>
            <w:tcW w:w="0" w:type="auto"/>
            <w:shd w:val="clear"/>
            <w:vAlign w:val="center"/>
          </w:tcPr>
          <w:p w14:paraId="7A4F0EB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PLoS ONE / 2017</w:t>
            </w:r>
          </w:p>
        </w:tc>
        <w:tc>
          <w:tcPr>
            <w:tcW w:w="0" w:type="auto"/>
            <w:shd w:val="clear"/>
            <w:vAlign w:val="center"/>
          </w:tcPr>
          <w:p w14:paraId="12FEE6D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28296904</w:t>
            </w:r>
          </w:p>
        </w:tc>
      </w:tr>
      <w:tr w14:paraId="763067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1F3D56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/>
            <w:vAlign w:val="center"/>
          </w:tcPr>
          <w:p w14:paraId="006321F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0.7939</w:t>
            </w:r>
          </w:p>
        </w:tc>
        <w:tc>
          <w:tcPr>
            <w:tcW w:w="0" w:type="auto"/>
            <w:shd w:val="clear"/>
            <w:vAlign w:val="center"/>
          </w:tcPr>
          <w:p w14:paraId="5F43032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Risk assessment of acute kidney injury following cardiopulmonary bypass</w:t>
            </w:r>
          </w:p>
        </w:tc>
        <w:tc>
          <w:tcPr>
            <w:tcW w:w="0" w:type="auto"/>
            <w:shd w:val="clear"/>
            <w:vAlign w:val="center"/>
          </w:tcPr>
          <w:p w14:paraId="671987D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Journal of Cardiothoracic Surgery / 2021</w:t>
            </w:r>
          </w:p>
        </w:tc>
        <w:tc>
          <w:tcPr>
            <w:tcW w:w="0" w:type="auto"/>
            <w:shd w:val="clear"/>
            <w:vAlign w:val="center"/>
          </w:tcPr>
          <w:p w14:paraId="7BD969D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33407652</w:t>
            </w:r>
          </w:p>
        </w:tc>
      </w:tr>
      <w:tr w14:paraId="0D3C6B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873F39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5</w:t>
            </w:r>
          </w:p>
        </w:tc>
        <w:tc>
          <w:tcPr>
            <w:tcW w:w="0" w:type="auto"/>
            <w:shd w:val="clear"/>
            <w:vAlign w:val="center"/>
          </w:tcPr>
          <w:p w14:paraId="0D7B1A8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0.7910</w:t>
            </w:r>
          </w:p>
        </w:tc>
        <w:tc>
          <w:tcPr>
            <w:tcW w:w="0" w:type="auto"/>
            <w:shd w:val="clear"/>
            <w:vAlign w:val="center"/>
          </w:tcPr>
          <w:p w14:paraId="0B182FE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Differentially expressed miRNAs in sepsis-induced acute kidney injury target oxidative stress and mitochondrial dysfunction pathways</w:t>
            </w:r>
          </w:p>
        </w:tc>
        <w:tc>
          <w:tcPr>
            <w:tcW w:w="0" w:type="auto"/>
            <w:shd w:val="clear"/>
            <w:vAlign w:val="center"/>
          </w:tcPr>
          <w:p w14:paraId="4DF52B7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PLoS ONE / 2017</w:t>
            </w:r>
          </w:p>
        </w:tc>
        <w:tc>
          <w:tcPr>
            <w:tcW w:w="0" w:type="auto"/>
            <w:shd w:val="clear"/>
            <w:vAlign w:val="center"/>
          </w:tcPr>
          <w:p w14:paraId="7DE6868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28296904</w:t>
            </w:r>
          </w:p>
        </w:tc>
      </w:tr>
    </w:tbl>
    <w:p w14:paraId="13DA166D">
      <w:pPr>
        <w:numPr>
          <w:numId w:val="0"/>
        </w:numPr>
        <w:ind w:leftChars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 w14:paraId="0708166B">
      <w:pPr>
        <w:numPr>
          <w:numId w:val="0"/>
        </w:numPr>
        <w:ind w:leftChars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 w14:paraId="05B54C90">
      <w:pPr>
        <w:numPr>
          <w:numId w:val="0"/>
        </w:numPr>
        <w:ind w:leftChars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 w14:paraId="1B3F7815">
      <w:pPr>
        <w:numPr>
          <w:numId w:val="0"/>
        </w:numPr>
        <w:ind w:leftChars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 w14:paraId="7F3D55B4">
      <w:pPr>
        <w:numPr>
          <w:numId w:val="0"/>
        </w:numPr>
        <w:ind w:leftChars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 w14:paraId="13EA5F20">
      <w:pPr>
        <w:numPr>
          <w:numId w:val="0"/>
        </w:numPr>
        <w:ind w:leftChars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 w14:paraId="18BBAEC0">
      <w:pPr>
        <w:numPr>
          <w:numId w:val="0"/>
        </w:numPr>
        <w:ind w:leftChars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 w14:paraId="2400CFC6">
      <w:pPr>
        <w:numPr>
          <w:ilvl w:val="0"/>
          <w:numId w:val="1"/>
        </w:numPr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元数据过滤验证</w:t>
      </w:r>
    </w:p>
    <w:p w14:paraId="7F7F03CD">
      <w:pPr>
        <w:numPr>
          <w:ilvl w:val="1"/>
          <w:numId w:val="1"/>
        </w:numPr>
        <w:ind w:left="0" w:leftChars="0" w:firstLine="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指定期刊过滤</w:t>
      </w:r>
    </w:p>
    <w:p w14:paraId="5ACC3A22">
      <w:pPr>
        <w:numPr>
          <w:numId w:val="0"/>
        </w:numPr>
        <w:ind w:leftChars="0"/>
      </w:pPr>
      <w:r>
        <w:drawing>
          <wp:inline distT="0" distB="0" distL="114300" distR="114300">
            <wp:extent cx="5266690" cy="1326515"/>
            <wp:effectExtent l="0" t="0" r="3810" b="698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326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217C21">
      <w:pPr>
        <w:numPr>
          <w:numId w:val="0"/>
        </w:numPr>
        <w:ind w:left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/>
          <w:lang w:val="en-US" w:eastAsia="zh-CN"/>
        </w:rPr>
        <w:t>过滤条件：</w:t>
      </w:r>
      <w:r>
        <w:rPr>
          <w:rFonts w:hint="default" w:ascii="Times New Roman" w:hAnsi="Times New Roman" w:cs="Times New Roman"/>
          <w:lang w:val="en-US" w:eastAsia="zh-CN"/>
        </w:rPr>
        <w:t>"journal": "Nature Communications"</w:t>
      </w:r>
    </w:p>
    <w:p w14:paraId="591DB7F3">
      <w:pPr>
        <w:numPr>
          <w:numId w:val="0"/>
        </w:numPr>
        <w:ind w:leftChars="0"/>
        <w:rPr>
          <w:rFonts w:hint="default" w:ascii="Times New Roman" w:hAnsi="Times New Roman" w:cs="Times New Roman"/>
          <w:lang w:val="en-US" w:eastAsia="zh-CN"/>
        </w:rPr>
      </w:pPr>
    </w:p>
    <w:p w14:paraId="55DC409E">
      <w:pPr>
        <w:numPr>
          <w:numId w:val="0"/>
        </w:numPr>
        <w:ind w:leftChars="0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返回Top-10结果：</w:t>
      </w:r>
    </w:p>
    <w:p w14:paraId="7183BFBD">
      <w:pPr>
        <w:numPr>
          <w:numId w:val="0"/>
        </w:numPr>
        <w:ind w:leftChars="0"/>
      </w:pPr>
      <w:r>
        <w:drawing>
          <wp:inline distT="0" distB="0" distL="114300" distR="114300">
            <wp:extent cx="5269230" cy="2005965"/>
            <wp:effectExtent l="0" t="0" r="1270" b="63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005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A4F206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25B91EAD">
      <w:pPr>
        <w:numPr>
          <w:ilvl w:val="1"/>
          <w:numId w:val="1"/>
        </w:numPr>
        <w:ind w:left="0" w:leftChars="0" w:firstLine="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期刊与年份组合过滤</w:t>
      </w:r>
    </w:p>
    <w:p w14:paraId="7B7D5333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10C90AE0">
      <w:pPr>
        <w:numPr>
          <w:numId w:val="0"/>
        </w:numPr>
        <w:ind w:leftChars="0"/>
      </w:pPr>
      <w:r>
        <w:drawing>
          <wp:inline distT="0" distB="0" distL="114300" distR="114300">
            <wp:extent cx="3067050" cy="3295015"/>
            <wp:effectExtent l="0" t="0" r="6350" b="698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3295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BDE368">
      <w:pPr>
        <w:numPr>
          <w:numId w:val="0"/>
        </w:numPr>
        <w:ind w:left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过滤条件：</w:t>
      </w:r>
      <w:r>
        <w:rPr>
          <w:rFonts w:hint="default" w:ascii="Times New Roman" w:hAnsi="Times New Roman" w:cs="Times New Roman"/>
          <w:lang w:val="en-US" w:eastAsia="zh-CN"/>
        </w:rPr>
        <w:t>"journal": "Nature Communications"；"publication_year": {"$gte": start_year}</w:t>
      </w:r>
    </w:p>
    <w:p w14:paraId="34BC7A60">
      <w:pPr>
        <w:numPr>
          <w:numId w:val="0"/>
        </w:numPr>
        <w:ind w:left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返回Top-10结果：</w:t>
      </w:r>
    </w:p>
    <w:p w14:paraId="2BA4FD12">
      <w:pPr>
        <w:numPr>
          <w:numId w:val="0"/>
        </w:numPr>
        <w:ind w:leftChars="0"/>
      </w:pPr>
      <w:r>
        <w:drawing>
          <wp:inline distT="0" distB="0" distL="114300" distR="114300">
            <wp:extent cx="5274310" cy="2227580"/>
            <wp:effectExtent l="0" t="0" r="8890" b="762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27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60410D">
      <w:pPr>
        <w:numPr>
          <w:numId w:val="0"/>
        </w:numPr>
        <w:ind w:leftChars="0"/>
      </w:pPr>
    </w:p>
    <w:p w14:paraId="600CC942">
      <w:pPr>
        <w:numPr>
          <w:ilvl w:val="0"/>
          <w:numId w:val="1"/>
        </w:numPr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质量验证</w:t>
      </w:r>
    </w:p>
    <w:p w14:paraId="27E5BF58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7.1 验证结果汇总</w:t>
      </w:r>
    </w:p>
    <w:tbl>
      <w:tblPr>
        <w:tblW w:w="9152" w:type="dxa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77"/>
        <w:gridCol w:w="3119"/>
        <w:gridCol w:w="3144"/>
        <w:gridCol w:w="1212"/>
      </w:tblGrid>
      <w:tr w14:paraId="090EAE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1632" w:type="dxa"/>
            <w:tcBorders>
              <w:top w:val="single" w:color="auto" w:sz="4" w:space="0"/>
              <w:left w:val="single" w:color="auto" w:sz="0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10BFBC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  <w:t>验证项</w:t>
            </w:r>
          </w:p>
        </w:tc>
        <w:tc>
          <w:tcPr>
            <w:tcW w:w="30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DC895C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  <w:t>验证方法</w:t>
            </w:r>
          </w:p>
        </w:tc>
        <w:tc>
          <w:tcPr>
            <w:tcW w:w="31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3DF121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  <w:t>结果</w:t>
            </w:r>
          </w:p>
        </w:tc>
        <w:tc>
          <w:tcPr>
            <w:tcW w:w="11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3BE12B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  <w:t>状态</w:t>
            </w:r>
          </w:p>
        </w:tc>
      </w:tr>
      <w:tr w14:paraId="0DD315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2C2700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向量数量一致性</w:t>
            </w:r>
          </w:p>
        </w:tc>
        <w:tc>
          <w:tcPr>
            <w:tcW w:w="30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18DDFC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有效Chunk数与Collection数量比较</w:t>
            </w:r>
          </w:p>
        </w:tc>
        <w:tc>
          <w:tcPr>
            <w:tcW w:w="31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5E5027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 xml:space="preserve">668,461 vs 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668,461</w:t>
            </w:r>
          </w:p>
        </w:tc>
        <w:tc>
          <w:tcPr>
            <w:tcW w:w="11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9D913D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通过</w:t>
            </w:r>
          </w:p>
        </w:tc>
      </w:tr>
      <w:tr w14:paraId="64FCE0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032263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Metadata完整性</w:t>
            </w:r>
          </w:p>
        </w:tc>
        <w:tc>
          <w:tcPr>
            <w:tcW w:w="30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55BD08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抽取5条记录检查</w:t>
            </w:r>
          </w:p>
        </w:tc>
        <w:tc>
          <w:tcPr>
            <w:tcW w:w="31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9FC317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核心字段可正常读取</w:t>
            </w:r>
          </w:p>
        </w:tc>
        <w:tc>
          <w:tcPr>
            <w:tcW w:w="11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4D0069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通过</w:t>
            </w:r>
          </w:p>
        </w:tc>
      </w:tr>
      <w:tr w14:paraId="14D9CC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9A656E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文本自相似性</w:t>
            </w:r>
          </w:p>
        </w:tc>
        <w:tc>
          <w:tcPr>
            <w:tcW w:w="30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BFAD24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随机20条正文片段执行Top-5查询</w:t>
            </w:r>
          </w:p>
        </w:tc>
        <w:tc>
          <w:tcPr>
            <w:tcW w:w="31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3C9144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18/20命中，90%</w:t>
            </w:r>
          </w:p>
        </w:tc>
        <w:tc>
          <w:tcPr>
            <w:tcW w:w="11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89C2CA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通过/需观察</w:t>
            </w:r>
          </w:p>
        </w:tc>
      </w:tr>
      <w:tr w14:paraId="77BC49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D97F7C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精确向量自匹配</w:t>
            </w:r>
          </w:p>
        </w:tc>
        <w:tc>
          <w:tcPr>
            <w:tcW w:w="30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357951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20条原向量执行Top-1查询</w:t>
            </w:r>
          </w:p>
        </w:tc>
        <w:tc>
          <w:tcPr>
            <w:tcW w:w="31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FD1BA7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20/20，100%</w:t>
            </w:r>
          </w:p>
        </w:tc>
        <w:tc>
          <w:tcPr>
            <w:tcW w:w="11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355F07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通过</w:t>
            </w:r>
          </w:p>
        </w:tc>
      </w:tr>
      <w:tr w14:paraId="245144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E54A62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空查询</w:t>
            </w:r>
          </w:p>
        </w:tc>
        <w:tc>
          <w:tcPr>
            <w:tcW w:w="30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0D7E3B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输入空字符串</w:t>
            </w:r>
          </w:p>
        </w:tc>
        <w:tc>
          <w:tcPr>
            <w:tcW w:w="31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4FF430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抛出</w:t>
            </w:r>
            <w:r>
              <w:rPr>
                <w:rStyle w:val="5"/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ValueError</w:t>
            </w:r>
          </w:p>
        </w:tc>
        <w:tc>
          <w:tcPr>
            <w:tcW w:w="11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23547A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通过</w:t>
            </w:r>
          </w:p>
        </w:tc>
      </w:tr>
      <w:tr w14:paraId="47BA6F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8014EF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纯空格查询</w:t>
            </w:r>
          </w:p>
        </w:tc>
        <w:tc>
          <w:tcPr>
            <w:tcW w:w="30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9A91AF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输入空格字符串</w:t>
            </w:r>
          </w:p>
        </w:tc>
        <w:tc>
          <w:tcPr>
            <w:tcW w:w="31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28F7DE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抛出</w:t>
            </w:r>
            <w:r>
              <w:rPr>
                <w:rStyle w:val="5"/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ValueError</w:t>
            </w:r>
          </w:p>
        </w:tc>
        <w:tc>
          <w:tcPr>
            <w:tcW w:w="11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F9E85C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通过</w:t>
            </w:r>
          </w:p>
        </w:tc>
      </w:tr>
      <w:tr w14:paraId="54032E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A5A6D5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超长查询</w:t>
            </w:r>
          </w:p>
        </w:tc>
        <w:tc>
          <w:tcPr>
            <w:tcW w:w="30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640BFB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输入7,000 Tokens</w:t>
            </w:r>
          </w:p>
        </w:tc>
        <w:tc>
          <w:tcPr>
            <w:tcW w:w="31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A7C867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截断为510 Tokens并返回结果</w:t>
            </w:r>
          </w:p>
        </w:tc>
        <w:tc>
          <w:tcPr>
            <w:tcW w:w="11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7F7F33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通过</w:t>
            </w:r>
          </w:p>
        </w:tc>
      </w:tr>
    </w:tbl>
    <w:p w14:paraId="31BCD10B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6C8D6796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353F40C6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057ABC98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2290645E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64B3C1E6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29C148C8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2A6249EF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7EF8BB51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3A59459E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38A29D2F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48DD9718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5096EC3B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4BE80B5C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5314A016">
      <w:pPr>
        <w:numPr>
          <w:ilvl w:val="0"/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7.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 文本自相似性验证</w:t>
      </w:r>
    </w:p>
    <w:p w14:paraId="0D31DD87">
      <w:pPr>
        <w:numPr>
          <w:numId w:val="0"/>
        </w:numPr>
        <w:ind w:left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随机抽取20个已索引Chunk，将正文前1,000个字符作为新查询。</w:t>
      </w:r>
    </w:p>
    <w:p w14:paraId="72ECB294">
      <w:pPr>
        <w:numPr>
          <w:numId w:val="0"/>
        </w:numPr>
        <w:ind w:leftChars="0"/>
      </w:pPr>
      <w:r>
        <w:drawing>
          <wp:inline distT="0" distB="0" distL="114300" distR="114300">
            <wp:extent cx="4530090" cy="3590290"/>
            <wp:effectExtent l="0" t="0" r="3810" b="381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30090" cy="3590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783235">
      <w:pPr>
        <w:numPr>
          <w:numId w:val="0"/>
        </w:numPr>
        <w:ind w:leftChars="0"/>
      </w:pPr>
    </w:p>
    <w:p w14:paraId="0AC43FE9">
      <w:pPr>
        <w:numPr>
          <w:ilvl w:val="0"/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7.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 精确向量自匹配</w:t>
      </w:r>
    </w:p>
    <w:p w14:paraId="121FFCEF">
      <w:pPr>
        <w:numPr>
          <w:numId w:val="0"/>
        </w:numPr>
        <w:ind w:left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直接从数据库读取20个向量，再使用相同向量执行Top-1检索。</w:t>
      </w:r>
    </w:p>
    <w:p w14:paraId="3994F996">
      <w:pPr>
        <w:numPr>
          <w:numId w:val="0"/>
        </w:numPr>
        <w:ind w:leftChars="0"/>
      </w:pPr>
      <w:r>
        <w:drawing>
          <wp:inline distT="0" distB="0" distL="114300" distR="114300">
            <wp:extent cx="4539615" cy="2449830"/>
            <wp:effectExtent l="0" t="0" r="6985" b="127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39615" cy="2449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C56E9B">
      <w:pPr>
        <w:numPr>
          <w:numId w:val="0"/>
        </w:numPr>
        <w:ind w:leftChars="0"/>
      </w:pPr>
    </w:p>
    <w:p w14:paraId="32A1603E">
      <w:pPr>
        <w:numPr>
          <w:numId w:val="0"/>
        </w:numPr>
        <w:ind w:leftChars="0"/>
      </w:pPr>
    </w:p>
    <w:p w14:paraId="6703CD13">
      <w:pPr>
        <w:numPr>
          <w:numId w:val="0"/>
        </w:numPr>
        <w:ind w:leftChars="0"/>
      </w:pPr>
    </w:p>
    <w:p w14:paraId="4823C94B">
      <w:pPr>
        <w:numPr>
          <w:numId w:val="0"/>
        </w:numPr>
        <w:ind w:leftChars="0"/>
      </w:pPr>
    </w:p>
    <w:p w14:paraId="21524838">
      <w:pPr>
        <w:numPr>
          <w:numId w:val="0"/>
        </w:numPr>
        <w:ind w:leftChars="0"/>
      </w:pPr>
    </w:p>
    <w:p w14:paraId="45C03C66">
      <w:pPr>
        <w:numPr>
          <w:numId w:val="0"/>
        </w:numPr>
        <w:ind w:leftChars="0"/>
      </w:pPr>
    </w:p>
    <w:p w14:paraId="08326C95">
      <w:pPr>
        <w:numPr>
          <w:numId w:val="0"/>
        </w:numPr>
        <w:ind w:leftChars="0"/>
      </w:pPr>
    </w:p>
    <w:p w14:paraId="180CE99E">
      <w:pPr>
        <w:numPr>
          <w:ilvl w:val="0"/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7.4 边界情况验证</w:t>
      </w:r>
    </w:p>
    <w:p w14:paraId="069A9E73">
      <w:pPr>
        <w:numPr>
          <w:ilvl w:val="0"/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728144FE">
      <w:pPr>
        <w:numPr>
          <w:ilvl w:val="0"/>
          <w:numId w:val="0"/>
        </w:numPr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空查询</w:t>
      </w:r>
    </w:p>
    <w:p w14:paraId="62169C1D">
      <w:pPr>
        <w:numPr>
          <w:ilvl w:val="0"/>
          <w:numId w:val="0"/>
        </w:numPr>
      </w:pPr>
      <w:r>
        <w:drawing>
          <wp:inline distT="0" distB="0" distL="114300" distR="114300">
            <wp:extent cx="5270500" cy="2721610"/>
            <wp:effectExtent l="0" t="0" r="0" b="889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721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E52122">
      <w:pPr>
        <w:numPr>
          <w:ilvl w:val="0"/>
          <w:numId w:val="0"/>
        </w:numPr>
      </w:pPr>
    </w:p>
    <w:p w14:paraId="33BE0E29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超长查询</w:t>
      </w:r>
    </w:p>
    <w:p w14:paraId="5B8A3816">
      <w:pPr>
        <w:numPr>
          <w:ilvl w:val="0"/>
          <w:numId w:val="0"/>
        </w:numPr>
      </w:pPr>
      <w:r>
        <w:drawing>
          <wp:inline distT="0" distB="0" distL="114300" distR="114300">
            <wp:extent cx="5271135" cy="1691640"/>
            <wp:effectExtent l="0" t="0" r="12065" b="1016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691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158A66C8">
      <w:pPr>
        <w:numPr>
          <w:ilvl w:val="0"/>
          <w:numId w:val="0"/>
        </w:num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截断后成功返回5条AKI相关文献，相似度约为0.7696～0.7757。</w:t>
      </w:r>
    </w:p>
    <w:p w14:paraId="02C495CD">
      <w:pPr>
        <w:numPr>
          <w:ilvl w:val="0"/>
          <w:numId w:val="0"/>
        </w:numPr>
      </w:pPr>
    </w:p>
    <w:p w14:paraId="52588614">
      <w:pPr>
        <w:numPr>
          <w:ilvl w:val="0"/>
          <w:numId w:val="0"/>
        </w:num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44766D4"/>
    <w:multiLevelType w:val="multilevel"/>
    <w:tmpl w:val="B44766D4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abstractNum w:abstractNumId="1">
    <w:nsid w:val="5E01F46C"/>
    <w:multiLevelType w:val="singleLevel"/>
    <w:tmpl w:val="5E01F46C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D3449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HTML Code"/>
    <w:basedOn w:val="4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27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2026-07-14T14:29:14Z</dcterms:created>
  <dc:creator>xukeh</dc:creator>
  <cp:lastModifiedBy>King James</cp:lastModifiedBy>
  <dcterms:modified xsi:type="dcterms:W3CDTF">2026-07-14T14:59:58Z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eyJoZGlkIjoiNTc2Mjc5ZTQ2MDE5ZjA1NGVjNTUzMmIwNDkyYTQ0ODUiLCJ1c2VySWQiOiI2OTU4MTE5MDMifQ==</vt:lpwstr>
  </property>
  <property fmtid="{D5CDD505-2E9C-101B-9397-08002B2CF9AE}" pid="4" name="ICV">
    <vt:lpwstr>95F3FCAD538742EAB6EBF57D8A8C66E3_12</vt:lpwstr>
  </property>
</Properties>
</file>