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浩鲸科技基础技术能力详细介绍文档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一、企业整体概况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企业基本简介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浩鲸云计算科技股份有限公司（简称“浩鲸科技”）成立于2003年，是全球领先的数智化全栈能力提供商、行业智能生产力构建者，始终深耕智能时代生产力建设，以数智化全栈能力驱动产业生产力革新，助力全球各行业智能化升级，推动社会高效、可持续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秉持“AI优先、国际优先”核心战略，以AI技术为核心增长引擎，依托多年ICT领域电信级复杂系统建设经验，构建“云技术为基础、大模型为底座、行业数据知识为核心”的完整技术体系，专注垂直领域大模型研发与企业全维感知、智能执行能力搭建，通过标准化产品、定制化开发与专业咨询服务，打通企业AI落地最后一公里，全方位赋能客户业务增长、商业创新与产业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浩鲸科技已在全球布局50多个研发中心与分支机构，服务覆盖80多个国家和地区。电信领域深耕成果显著，服务全球150余家主流电信运营商，覆盖超18亿终端用户；同时持续向外全行业渗透，赋能数字政府、大交通、能源电力、高校、烟草、金融、工业制造等关键领域，全球行业政企客户超800家，为全球数字经济建设提供坚实技术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核心资质与行业荣誉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经过二十余年技术深耕与项目落地，浩鲸科技积累了权威的行业资质与广泛的市场认可，核心资质与荣誉如下：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国家级资质：国家规划布局内重点软件企业、国家高新技术企业、国家计算机信息系统集成一级资质；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技术认证：全球研发CMMI 5级认证、全栈信创国产化兼容认证；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行业榜单：中国信通院大模型应用交付供应商名录TOP10、入选Gartner运营商AI全球魔力象限；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行业奖项：TM Forum年度卓越大奖等多项国际、国内权威行业奖项。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二、基础技术整体架构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浩鲸科技聚焦底层核心技术研发，深度融合云计算、大数据、AI大模型三大核心技术，构建</w:t>
      </w:r>
      <w:r>
        <w:rPr>
          <w:rFonts w:eastAsia="等线" w:ascii="Arial" w:cs="Arial" w:hAnsi="Arial"/>
          <w:b w:val="true"/>
          <w:sz w:val="22"/>
        </w:rPr>
        <w:t>“双引擎、双体系”</w:t>
      </w:r>
      <w:r>
        <w:rPr>
          <w:rFonts w:eastAsia="等线" w:ascii="Arial" w:cs="Arial" w:hAnsi="Arial"/>
          <w:sz w:val="22"/>
        </w:rPr>
        <w:t>一体化、高效能基础技术底座，形成完整的数字化、智能化技术服务闭环，可全方位支撑各行业端到端数字化转型需求。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整体技术框架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双引擎：云服务引擎、AI大模型引擎，构成企业数字化转型核心动力源；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双体系：大数据全生命周期服务体系、行业通用能力引擎体系，提供标准化、场景化技术支撑；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能力：依托咨询、迁移、定制开发、运维运营全流程服务，叠加信息中心、事件中心、流程引擎等通用能力，结合政务、交通、金融、应急等垂直行业大模型，形成“技术底座+行业能力+落地服务”的全栈技术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技术服务覆盖行业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完善的基础技术能力，公司技术服务全面覆盖电信运营商、能源电力、金融、烟草、零售、智慧园区、高等教育、医疗、工业制造、数字政府、大交通、应急公共安全等数十个核心行业，可适配大型国企、政府单位、跨国企业、中小企业等不同类型客户的差异化数字化、智能化建设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三、核心基础技术能力体系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云服务能力体系——全域算力与多云管控底座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浩鲸科技作为全球领先的云服务商，具备一站式全生命周期云管理与运营服务能力，全面覆盖</w:t>
      </w:r>
      <w:r>
        <w:rPr>
          <w:rFonts w:eastAsia="等线" w:ascii="Arial" w:cs="Arial" w:hAnsi="Arial"/>
          <w:b w:val="true"/>
          <w:sz w:val="22"/>
        </w:rPr>
        <w:t>建云、上云、用云、管云</w:t>
      </w:r>
      <w:r>
        <w:rPr>
          <w:rFonts w:eastAsia="等线" w:ascii="Arial" w:cs="Arial" w:hAnsi="Arial"/>
          <w:sz w:val="22"/>
        </w:rPr>
        <w:t>全流程，依托自研平台、全球化交付能力、全生态合作优势，为各行业客户提供差异化、高可靠的云服务解决方案。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3.1.1 全生命周期云服务内容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闭环式云服务流程，涵盖云战略咨询、上云可行性评估、云上架构设计、云产品选型、迁移预案制定、迁移实施与验证、云原生开发、大数据开发、应用定制开发、多云接入、资源运维管理、安全运营、应急响应、培训赋能等全场景服务，实现客户上云无忧、用云高效、管云便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3.1.2 核心产品与工具矩阵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自研S-CMP多云管理平台为核心，搭配SIMS自动化部署工具、迁云工具、安全工具、DevOps、AI工厂、云PaaS平台、CI/CD流水线等自研工具，实现多云资源统一管控、自动化部署、高效运维，适配复杂企业IT架构。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3.1.3 核心竞争优势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全栈数字化能力：算力、平台、应用、运维一体化输出；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全球化运营能力：覆盖20+国家、50+重点城市，落地1500+云项目；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云化+数智双驱动：云计算与大数据、AI技术深度融合；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成熟落地经验：积累各行业标杆案例，工具标准化、交付流程体系化；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全生态合作：拥有10+云原厂伙伴认证，深度适配天翼云、移动云、腾讯云、阿里云、百度智能云、火山引擎等主流公有云。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3.1.4 典型落地案例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案例一：冀中能源“国企一朵云、国资一张网”项目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河北省国资委数字化转型要求，采用“一云、三网、五中心、N应用”总体架构，搭建自主可控、安全可信的企业专属云平台。一云即统一云管平台，基于“一云多池、一云多芯”架构实现全域资源统筹管控；三网搭建企业内网、国企专网、互联网三类接入网络，保障业务高速安全传输；五中心构建算力、安全、运维、数智、协同创新五大能力中心；实现财务、人力、招标、AI平台等全业务场景上云。项目落地后，大幅提升业务敏捷性、降低IT运维成本，深化数据资产价值，全面满足国企信创转型与等保合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案例二：浙江省政务一朵云项目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“一朵云、一中台、一张图、N场景”政务云运营服务体系，采用“两地三中心、多region”超大规模架构，部署8000余台服务器，提供10大类70余款云服务。项目覆盖全省106个厅局及地市机构，完成2300+政务系统迁移上云，打通102个数据共享接口，汇聚50亿+数据条目，实现跨部门数据秒级共享。安全层面高分通过等保2.0测评，年度拦截攻击超11.5亿次，圆满完成各类重大活动安全保障，斩获多项IDC行业权威奖项，成为全国政务数字化标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其他标杆客户</w:t>
      </w:r>
      <w:r>
        <w:rPr>
          <w:rFonts w:eastAsia="等线" w:ascii="Arial" w:cs="Arial" w:hAnsi="Arial"/>
          <w:sz w:val="22"/>
        </w:rPr>
        <w:t>：国内南瑞集团、中国电信、国泰产险、长安大学等；国际涵盖沃达丰、法国电信Orange、沙特STC、泰国True、卢森堡POST等数十家全球知名企业与运营商。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大数据能力服务体系——全周期数据治理与价值挖掘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浩鲸科技深耕大数据领域，构建覆盖</w:t>
      </w:r>
      <w:r>
        <w:rPr>
          <w:rFonts w:eastAsia="等线" w:ascii="Arial" w:cs="Arial" w:hAnsi="Arial"/>
          <w:b w:val="true"/>
          <w:sz w:val="22"/>
        </w:rPr>
        <w:t>咨询规划、平台建设、落地实施、长效运营</w:t>
      </w:r>
      <w:r>
        <w:rPr>
          <w:rFonts w:eastAsia="等线" w:ascii="Arial" w:cs="Arial" w:hAnsi="Arial"/>
          <w:sz w:val="22"/>
        </w:rPr>
        <w:t>的全生命周期大数据服务体系，独创数据治理“七步法”与“盘-规-融-评”四轮驱动法，依托成熟产品矩阵与专业服务团队，帮助客户解决数据散乱、质量参差不齐、价值难以释放等痛点，快速构建体系化数据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3.2.1 核心产品矩阵</w:t>
      </w:r>
      <w:bookmarkEnd w:id="1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鲸智数据工厂</w:t>
      </w:r>
      <w:r>
        <w:rPr>
          <w:rFonts w:eastAsia="等线" w:ascii="Arial" w:cs="Arial" w:hAnsi="Arial"/>
          <w:sz w:val="22"/>
        </w:rPr>
        <w:t>：DataOps研发治理一站式平台，覆盖数据规划、采集汇聚、开发治理、资产管理、服务共享、监控运维全链路，支持多源异构数据接入，适配复杂IT架构，已完成全品类信创兼容认证，支持行业微定制，广泛应用于政务、交通、零售、金融等场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鲸智大数据平台</w:t>
      </w:r>
      <w:r>
        <w:rPr>
          <w:rFonts w:eastAsia="等线" w:ascii="Arial" w:cs="Arial" w:hAnsi="Arial"/>
          <w:sz w:val="22"/>
        </w:rPr>
        <w:t>：分布式计算与存储平台，提供稳定高效的海量数据处理能力；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鲸智分析型数据库</w:t>
      </w:r>
      <w:r>
        <w:rPr>
          <w:rFonts w:eastAsia="等线" w:ascii="Arial" w:cs="Arial" w:hAnsi="Arial"/>
          <w:sz w:val="22"/>
        </w:rPr>
        <w:t>：轻量化分布式数据库，适配海量数据快速查询与分析场景；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鲸智挖掘平台</w:t>
      </w:r>
      <w:r>
        <w:rPr>
          <w:rFonts w:eastAsia="等线" w:ascii="Arial" w:cs="Arial" w:hAnsi="Arial"/>
          <w:sz w:val="22"/>
        </w:rPr>
        <w:t>：低门槛数据挖掘建模平台，降低企业数据建模应用门槛；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鲸智分析平台</w:t>
      </w:r>
      <w:r>
        <w:rPr>
          <w:rFonts w:eastAsia="等线" w:ascii="Arial" w:cs="Arial" w:hAnsi="Arial"/>
          <w:sz w:val="22"/>
        </w:rPr>
        <w:t>：开箱即用的智能分析平台，快速实现数据可视化与业务分析。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3.2.2 数据治理核心方法论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“盘、规、融、评”四轮驱动闭环体系，实现数据价值全流程沉淀：盘点企业全域数据资产、厘清数据分布；制定数据分级分类标准、规范数据管理；融合离散数据、开发数据产品、沉淀数据资产；常态化开展治理评估、量化数据价值、优化运营体系，最终实现数据资源集约化管理、数据资产沉淀、数据价值对内赋能、对外流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3.2.3 标杆落地案例：中远海运数据中台项目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中远海运搭建集团统一数据底座，围绕“数据标准化、流程化、资产化、共享化”四大目标构建全域数据治理体系。通过指标体系重构，将1.2万个业务指标精简至1542个，分析维度优化至315个，实现70%数据报表自动化生成，大幅降低人工成本。依托统一数据底座，为集团27家下属公司提供数据支撑，对接58个外部数据源，搭建804个数据接口，沉淀6435个数据模型，有效避免重复建设。同时构建集团领导驾驶舱与数据共享门户，实现核心战略资源可视化，精准挖掘航行数据、保障航行安全，全面提升企业经营决策效率与客户服务水平，打造国企数据资产运营标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3.2.4 行业落地成果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落地政务案例60+、电信运营商案例45+、交通案例30+、零售案例25+、能源电力案例10+、其他行业案例100+，拥有数据治理咨询、架构设计、落地实施、平台研发全链条专业团队，可实现各行业数据能力全覆盖建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3.3 AI大模型能力服务体系——全链路智能化落地底座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浩鲸科技具备完整的大模型研发、训练、部署、应用落地全链路能力，覆盖算力管理、模型工具链、智能引擎、行业应用四大层级，打通大模型从技术研发到业务落地的最后一公里，适配通用办公、垂直行业、企业数字化转型等全场景智能化需求，同时自研多款AI工具产品，形成标准化、可复用的AI生产力工具矩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3.3.1 核心大模型平台能力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（1）鲸智MaaS平台——大模型一站式生产管理平台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多模态数据管理、智能标注、模型微调、推理加速、算法超市等核心能力，兼容通义千问、ChatGLM、LLAMA等主流基础大模型，支持营销、安监、应急、客服、算网等垂直领域模型定制训练。具备异构数据无缝接入、分布式轻量化训练、精细化权限管理、负载均衡推理等能力，可作为智慧城市、企业AI中台核心底座，大幅缩短大模型应用开发周期、降低研发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（2）鲸智智能体开发平台——零代码AI应用搭建平台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大语言模型为核心，支持智能体可视化编排，内置文档检索、智能应答、数据分析、流程自动化等丰富插件，零代码快速搭建行业AI应用。广泛应用于智能客服、智能看数、RPA流程自动化等场景，可自动完成数据录入、报告生成、智能问答、数据分析等工作，助力企业办公与业务流程智能化升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（3）AI低代码开发平台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驱动的企业级高效开发工具，预置1000+标准化组件与行业模板，支持“一句话、一张图片、一份需求自动生成应用”，覆盖OA、CRM、进销存、合同管理等全企业业务场景。内置100+系统连接器，可无缝对接现有IT系统，支持多人协作开发、智能纠错、源码导出，大幅缩短应用开发周期、降低研发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（4）大模型知识中心&amp;知识库一体机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中心为企业AI知识资产运营中枢，支持多源异构知识接入、智能治理、分级管控、全局复用，构建企业专属知识体系。配套知识库一体机为软硬一体化设备，支持内网本地化部署、数据不出境，开箱即用，兼容30+类文档格式，实现多模态文档解析、智能问答、精准检索，适配企业私密知识管理、内部办公问答、客户服务等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3.3.2 全场景AI工具产品矩阵</w:t>
      </w:r>
      <w:bookmarkEnd w:id="2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鲸智ChatBI</w:t>
      </w:r>
      <w:r>
        <w:rPr>
          <w:rFonts w:eastAsia="等线" w:ascii="Arial" w:cs="Arial" w:hAnsi="Arial"/>
          <w:sz w:val="22"/>
        </w:rPr>
        <w:t>：自然语言智能数据分析工具，无需代码，通过提问即可实现数据查询、可视化分析、指标异动诊断、报表自动生成，降低企业数据分析门槛，赋能业务快速决策。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招投标全流程AI工具</w:t>
      </w:r>
      <w:r>
        <w:rPr>
          <w:rFonts w:eastAsia="等线" w:ascii="Arial" w:cs="Arial" w:hAnsi="Arial"/>
          <w:sz w:val="22"/>
        </w:rPr>
        <w:t>：包含AI辅助编标、AI辅助开标、AI辅助评标、AI应标助手，实现标书智能生成、围串标风险排查、标书合规稽核、投标预评估，全流程提升招投标效率、规避业务风险。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智能合同审核助手</w:t>
      </w:r>
      <w:r>
        <w:rPr>
          <w:rFonts w:eastAsia="等线" w:ascii="Arial" w:cs="Arial" w:hAnsi="Arial"/>
          <w:sz w:val="22"/>
        </w:rPr>
        <w:t>：结合大小模型与OCR技术，自动审核合同风险、比对关键信息、跟踪履约进度、稽核收支数据，降低合同审核人力成本与法律风险。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大模型数字人</w:t>
      </w:r>
      <w:r>
        <w:rPr>
          <w:rFonts w:eastAsia="等线" w:ascii="Arial" w:cs="Arial" w:hAnsi="Arial"/>
          <w:sz w:val="22"/>
        </w:rPr>
        <w:t>：多模态智能交互平台，支持个性化形象定制、语音情感联动、多终端适配，可用于企业宣传、政务导办、智能咨询等场景。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鲸智百应</w:t>
      </w:r>
      <w:r>
        <w:rPr>
          <w:rFonts w:eastAsia="等线" w:ascii="Arial" w:cs="Arial" w:hAnsi="Arial"/>
          <w:sz w:val="22"/>
        </w:rPr>
        <w:t>：企业超级智能体协同平台，构建数字员工体系，覆盖办公、生产、经营全场景，实现业务流程自动化、企业知识持续迭代复用。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ESG大模型（鲸牛ESG）</w:t>
      </w:r>
      <w:r>
        <w:rPr>
          <w:rFonts w:eastAsia="等线" w:ascii="Arial" w:cs="Arial" w:hAnsi="Arial"/>
          <w:sz w:val="22"/>
        </w:rPr>
        <w:t>：国内首个权威垂直ESG大模型，依托5万+企业数据训练，支持ESG报告自动生成、数据治理、风险预警、信息披露，助力企业合规开展ESG建设、接轨国际标准。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3.3.3 大模型应用场景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通用场景覆盖AI客服、财务风控、知识问答、智能决策；垂直深度赋能电信、能源、金融、政务、交通、烟草、高校、医疗等行业，可快速落地行业专属大模型应用，构建行业智能化生产力。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四、技术核心优势与整体价值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4.1 技术底座优势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形成“云-数-AI”三位一体的全栈底层技术能力，三者深度融合、协同赋能，区别于单一技术服务商，可实现算力支撑、数据治理、智能应用一站式建设，避免系统割裂、数据孤岛问题。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4.2 国产化信创优势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全系列产品完成华为鲲鹏、浪潮ARM服务器，麒麟、统信操作系统，达梦、Gbase数据库等国产软硬件兼容认证，适配信创转型要求，实现技术自主可控，满足国企、政务、金融等重点行业合规需求。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4.3 全球化落地优势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具备全球化交付与运营能力，海外项目落地经验丰富，适配不同国家、地区的行业规则与技术标准，可同时服务国内政企市场与海外运营商、企业客户。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4.4 场景化落地优势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二十余年行业沉淀，积累海量垂直场景解决方案与落地案例，技术产品标准化、交付流程体系化，同时支持个性化定制开发，可精准匹配不同行业、不同规模客户的差异化需求，真正实现技术落地、业务提效、价值增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五、总结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浩鲸科技以云计算、大数据、AI大模型三大核心基础技术为底座，构建了覆盖</w:t>
      </w:r>
      <w:r>
        <w:rPr>
          <w:rFonts w:eastAsia="等线" w:ascii="Arial" w:cs="Arial" w:hAnsi="Arial"/>
          <w:b w:val="true"/>
          <w:sz w:val="22"/>
        </w:rPr>
        <w:t>算力支撑、数据治理、智能赋能、场景落地、长效运营</w:t>
      </w:r>
      <w:r>
        <w:rPr>
          <w:rFonts w:eastAsia="等线" w:ascii="Arial" w:cs="Arial" w:hAnsi="Arial"/>
          <w:sz w:val="22"/>
        </w:rPr>
        <w:t>的全栈数智化技术体系。凭借权威的资质认证、成熟的产品矩阵、丰富的标杆案例、全球化的交付能力，可全方位满足政府、运营商、能源、金融、交通、教育等各行业的数字化、智能化转型需求，持续以数据智能创造产业无限可能，助力各行业构建新时代智能生产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49331">
    <w:lvl>
      <w:numFmt w:val="bullet"/>
      <w:suff w:val="tab"/>
      <w:lvlText w:val="•"/>
      <w:rPr>
        <w:color w:val="3370ff"/>
      </w:rPr>
    </w:lvl>
  </w:abstractNum>
  <w:abstractNum w:abstractNumId="3549332">
    <w:lvl>
      <w:numFmt w:val="bullet"/>
      <w:suff w:val="tab"/>
      <w:lvlText w:val="•"/>
      <w:rPr>
        <w:color w:val="3370ff"/>
      </w:rPr>
    </w:lvl>
  </w:abstractNum>
  <w:abstractNum w:abstractNumId="3549333">
    <w:lvl>
      <w:numFmt w:val="bullet"/>
      <w:suff w:val="tab"/>
      <w:lvlText w:val="•"/>
      <w:rPr>
        <w:color w:val="3370ff"/>
      </w:rPr>
    </w:lvl>
  </w:abstractNum>
  <w:abstractNum w:abstractNumId="3549334">
    <w:lvl>
      <w:numFmt w:val="bullet"/>
      <w:suff w:val="tab"/>
      <w:lvlText w:val="•"/>
      <w:rPr>
        <w:color w:val="3370ff"/>
      </w:rPr>
    </w:lvl>
  </w:abstractNum>
  <w:abstractNum w:abstractNumId="3549335">
    <w:lvl>
      <w:numFmt w:val="bullet"/>
      <w:suff w:val="tab"/>
      <w:lvlText w:val="•"/>
      <w:rPr>
        <w:color w:val="3370ff"/>
      </w:rPr>
    </w:lvl>
  </w:abstractNum>
  <w:abstractNum w:abstractNumId="3549336">
    <w:lvl>
      <w:numFmt w:val="bullet"/>
      <w:suff w:val="tab"/>
      <w:lvlText w:val="•"/>
      <w:rPr>
        <w:color w:val="3370ff"/>
      </w:rPr>
    </w:lvl>
  </w:abstractNum>
  <w:abstractNum w:abstractNumId="3549337">
    <w:lvl>
      <w:numFmt w:val="bullet"/>
      <w:suff w:val="tab"/>
      <w:lvlText w:val="•"/>
      <w:rPr>
        <w:color w:val="3370ff"/>
      </w:rPr>
    </w:lvl>
  </w:abstractNum>
  <w:abstractNum w:abstractNumId="3549338">
    <w:lvl>
      <w:numFmt w:val="bullet"/>
      <w:suff w:val="tab"/>
      <w:lvlText w:val="•"/>
      <w:rPr>
        <w:color w:val="3370ff"/>
      </w:rPr>
    </w:lvl>
  </w:abstractNum>
  <w:abstractNum w:abstractNumId="3549339">
    <w:lvl>
      <w:numFmt w:val="bullet"/>
      <w:suff w:val="tab"/>
      <w:lvlText w:val="•"/>
      <w:rPr>
        <w:color w:val="3370ff"/>
      </w:rPr>
    </w:lvl>
  </w:abstractNum>
  <w:abstractNum w:abstractNumId="3549340">
    <w:lvl>
      <w:numFmt w:val="bullet"/>
      <w:suff w:val="tab"/>
      <w:lvlText w:val="•"/>
      <w:rPr>
        <w:color w:val="3370ff"/>
      </w:rPr>
    </w:lvl>
  </w:abstractNum>
  <w:abstractNum w:abstractNumId="3549341">
    <w:lvl>
      <w:numFmt w:val="bullet"/>
      <w:suff w:val="tab"/>
      <w:lvlText w:val="•"/>
      <w:rPr>
        <w:color w:val="3370ff"/>
      </w:rPr>
    </w:lvl>
  </w:abstractNum>
  <w:abstractNum w:abstractNumId="3549342">
    <w:lvl>
      <w:numFmt w:val="bullet"/>
      <w:suff w:val="tab"/>
      <w:lvlText w:val="•"/>
      <w:rPr>
        <w:color w:val="3370ff"/>
      </w:rPr>
    </w:lvl>
  </w:abstractNum>
  <w:abstractNum w:abstractNumId="3549343">
    <w:lvl>
      <w:numFmt w:val="bullet"/>
      <w:suff w:val="tab"/>
      <w:lvlText w:val="•"/>
      <w:rPr>
        <w:color w:val="3370ff"/>
      </w:rPr>
    </w:lvl>
  </w:abstractNum>
  <w:abstractNum w:abstractNumId="3549344">
    <w:lvl>
      <w:numFmt w:val="bullet"/>
      <w:suff w:val="tab"/>
      <w:lvlText w:val="•"/>
      <w:rPr>
        <w:color w:val="3370ff"/>
      </w:rPr>
    </w:lvl>
  </w:abstractNum>
  <w:abstractNum w:abstractNumId="3549345">
    <w:lvl>
      <w:numFmt w:val="bullet"/>
      <w:suff w:val="tab"/>
      <w:lvlText w:val="•"/>
      <w:rPr>
        <w:color w:val="3370ff"/>
      </w:rPr>
    </w:lvl>
  </w:abstractNum>
  <w:abstractNum w:abstractNumId="3549346">
    <w:lvl>
      <w:numFmt w:val="bullet"/>
      <w:suff w:val="tab"/>
      <w:lvlText w:val="•"/>
      <w:rPr>
        <w:color w:val="3370ff"/>
      </w:rPr>
    </w:lvl>
  </w:abstractNum>
  <w:abstractNum w:abstractNumId="3549347">
    <w:lvl>
      <w:numFmt w:val="bullet"/>
      <w:suff w:val="tab"/>
      <w:lvlText w:val="•"/>
      <w:rPr>
        <w:color w:val="3370ff"/>
      </w:rPr>
    </w:lvl>
  </w:abstractNum>
  <w:abstractNum w:abstractNumId="3549348">
    <w:lvl>
      <w:numFmt w:val="bullet"/>
      <w:suff w:val="tab"/>
      <w:lvlText w:val="•"/>
      <w:rPr>
        <w:color w:val="3370ff"/>
      </w:rPr>
    </w:lvl>
  </w:abstractNum>
  <w:abstractNum w:abstractNumId="3549349">
    <w:lvl>
      <w:numFmt w:val="bullet"/>
      <w:suff w:val="tab"/>
      <w:lvlText w:val="•"/>
      <w:rPr>
        <w:color w:val="3370ff"/>
      </w:rPr>
    </w:lvl>
  </w:abstractNum>
  <w:abstractNum w:abstractNumId="3549350">
    <w:lvl>
      <w:numFmt w:val="bullet"/>
      <w:suff w:val="tab"/>
      <w:lvlText w:val="•"/>
      <w:rPr>
        <w:color w:val="3370ff"/>
      </w:rPr>
    </w:lvl>
  </w:abstractNum>
  <w:num w:numId="1">
    <w:abstractNumId w:val="3549331"/>
  </w:num>
  <w:num w:numId="2">
    <w:abstractNumId w:val="3549332"/>
  </w:num>
  <w:num w:numId="3">
    <w:abstractNumId w:val="3549333"/>
  </w:num>
  <w:num w:numId="4">
    <w:abstractNumId w:val="3549334"/>
  </w:num>
  <w:num w:numId="5">
    <w:abstractNumId w:val="3549335"/>
  </w:num>
  <w:num w:numId="6">
    <w:abstractNumId w:val="3549336"/>
  </w:num>
  <w:num w:numId="7">
    <w:abstractNumId w:val="3549337"/>
  </w:num>
  <w:num w:numId="8">
    <w:abstractNumId w:val="3549338"/>
  </w:num>
  <w:num w:numId="9">
    <w:abstractNumId w:val="3549339"/>
  </w:num>
  <w:num w:numId="10">
    <w:abstractNumId w:val="3549340"/>
  </w:num>
  <w:num w:numId="11">
    <w:abstractNumId w:val="3549341"/>
  </w:num>
  <w:num w:numId="12">
    <w:abstractNumId w:val="3549342"/>
  </w:num>
  <w:num w:numId="13">
    <w:abstractNumId w:val="3549343"/>
  </w:num>
  <w:num w:numId="14">
    <w:abstractNumId w:val="3549344"/>
  </w:num>
  <w:num w:numId="15">
    <w:abstractNumId w:val="3549345"/>
  </w:num>
  <w:num w:numId="16">
    <w:abstractNumId w:val="3549346"/>
  </w:num>
  <w:num w:numId="17">
    <w:abstractNumId w:val="3549347"/>
  </w:num>
  <w:num w:numId="18">
    <w:abstractNumId w:val="3549348"/>
  </w:num>
  <w:num w:numId="19">
    <w:abstractNumId w:val="3549349"/>
  </w:num>
  <w:num w:numId="20">
    <w:abstractNumId w:val="35493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2026-06-29T02:53:01Z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{"Label":"1","ContentProducer":"001191110102MACQD9K64010000","ProduceID":"7656644977414540250","ReservedCode1":"","ContentPropagator":"","PropagateID":"","ReservedCode2":""}</vt:lpwstr>
  </property>
</Properties>
</file>