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F0550" w14:textId="77777777" w:rsidR="008D2B94" w:rsidRDefault="000E6516">
      <w:pPr>
        <w:spacing w:after="80"/>
      </w:pPr>
      <w:r>
        <w:rPr>
          <w:b/>
          <w:bCs/>
          <w:color w:val="063057"/>
          <w:sz w:val="56"/>
          <w:szCs w:val="56"/>
        </w:rPr>
        <w:t>Leave Balance Converter</w:t>
      </w:r>
    </w:p>
    <w:p w14:paraId="761F0551" w14:textId="77777777" w:rsidR="008D2B94" w:rsidRDefault="000E6516">
      <w:pPr>
        <w:spacing w:after="80"/>
      </w:pPr>
      <w:r>
        <w:rPr>
          <w:color w:val="DC7C3A"/>
          <w:sz w:val="28"/>
          <w:szCs w:val="28"/>
        </w:rPr>
        <w:t>Technical Overview &amp; Migration Handover</w:t>
      </w:r>
    </w:p>
    <w:p w14:paraId="761F0552" w14:textId="77777777" w:rsidR="008D2B94" w:rsidRDefault="000E6516">
      <w:pPr>
        <w:pBdr>
          <w:bottom w:val="single" w:sz="6" w:space="2" w:color="DC7C3A"/>
        </w:pBdr>
        <w:spacing w:after="400"/>
      </w:pPr>
      <w:r>
        <w:rPr>
          <w:i/>
          <w:iCs/>
          <w:color w:val="374151"/>
          <w:sz w:val="20"/>
          <w:szCs w:val="20"/>
        </w:rPr>
        <w:t>Prepared by Jamie Callawick  ·  June 2026</w:t>
      </w:r>
    </w:p>
    <w:p w14:paraId="761F0553" w14:textId="77777777" w:rsidR="008D2B94" w:rsidRDefault="008D2B9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B94" w14:paraId="761F05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3057"/>
            <w:tcMar>
              <w:top w:w="120" w:type="dxa"/>
              <w:left w:w="200" w:type="dxa"/>
              <w:bottom w:w="120" w:type="dxa"/>
              <w:right w:w="200" w:type="dxa"/>
            </w:tcMar>
          </w:tcPr>
          <w:p w14:paraId="761F0554" w14:textId="77777777" w:rsidR="008D2B94" w:rsidRDefault="000E6516">
            <w:r>
              <w:rPr>
                <w:b/>
                <w:bCs/>
                <w:color w:val="FFFFFF"/>
                <w:sz w:val="26"/>
                <w:szCs w:val="26"/>
              </w:rPr>
              <w:t>1.  The Problem We Are Solving</w:t>
            </w:r>
          </w:p>
        </w:tc>
      </w:tr>
    </w:tbl>
    <w:p w14:paraId="761F0556" w14:textId="77777777" w:rsidR="008D2B94" w:rsidRDefault="008D2B94">
      <w:pPr>
        <w:spacing w:after="100"/>
      </w:pPr>
    </w:p>
    <w:p w14:paraId="761F0557" w14:textId="5479ED5B" w:rsidR="008D2B94" w:rsidRDefault="000E6516">
      <w:pPr>
        <w:spacing w:after="160"/>
      </w:pPr>
      <w:r>
        <w:rPr>
          <w:color w:val="374151"/>
        </w:rPr>
        <w:t xml:space="preserve">Clients currently managing leave balances within Simplifi without an API connection face a painful three-step manual process:</w:t>
      </w:r>
    </w:p>
    <w:p w14:paraId="761F0558" w14:textId="77777777" w:rsidR="008D2B94" w:rsidRDefault="008D2B94">
      <w:pPr>
        <w:spacing w:after="60"/>
      </w:pPr>
    </w:p>
    <w:p w14:paraId="761F0559" w14:textId="77777777" w:rsidR="008D2B94" w:rsidRDefault="000E6516">
      <w:pPr>
        <w:pStyle w:val="ListParagraph"/>
        <w:numPr>
          <w:ilvl w:val="0"/>
          <w:numId w:val="2"/>
        </w:numPr>
        <w:spacing w:after="100"/>
      </w:pPr>
      <w:r>
        <w:rPr>
          <w:color w:val="374151"/>
        </w:rPr>
        <w:t xml:space="preserve"> Export a leave balance report from their payroll system (Smartly, IMS/MYOB or Rocket).</w:t>
      </w:r>
    </w:p>
    <w:p w14:paraId="761F055A" w14:textId="77777777" w:rsidR="008D2B94" w:rsidRDefault="000E6516">
      <w:pPr>
        <w:pStyle w:val="ListParagraph"/>
        <w:numPr>
          <w:ilvl w:val="0"/>
          <w:numId w:val="2"/>
        </w:numPr>
        <w:spacing w:after="100"/>
      </w:pPr>
      <w:r>
        <w:rPr>
          <w:color w:val="374151"/>
        </w:rPr>
        <w:t xml:space="preserve"> Manually reformat and remap the data — renaming columns, converting units, removing redundant rows — in Excel or a text editor.</w:t>
      </w:r>
    </w:p>
    <w:p w14:paraId="761F055B" w14:textId="77777777" w:rsidR="008D2B94" w:rsidRDefault="000E6516">
      <w:pPr>
        <w:pStyle w:val="ListParagraph"/>
        <w:numPr>
          <w:ilvl w:val="0"/>
          <w:numId w:val="2"/>
        </w:numPr>
        <w:spacing w:after="100"/>
      </w:pPr>
      <w:r>
        <w:rPr>
          <w:color w:val="374151"/>
        </w:rPr>
        <w:t xml:space="preserve"> Re-upload the transformed file into Simplifi.</w:t>
      </w:r>
    </w:p>
    <w:p w14:paraId="761F055C" w14:textId="77777777" w:rsidR="008D2B94" w:rsidRDefault="008D2B94">
      <w:pPr>
        <w:spacing w:after="100"/>
      </w:pPr>
    </w:p>
    <w:p w14:paraId="761F055D" w14:textId="77777777" w:rsidR="008D2B94" w:rsidRDefault="000E6516">
      <w:pPr>
        <w:spacing w:after="160"/>
      </w:pPr>
      <w:r>
        <w:rPr>
          <w:color w:val="374151"/>
        </w:rPr>
        <w:t>This is error-prone, time-consuming, and entirely avoidable. Each manual transformation step introduces the risk of incorrect mappings, wrong unit conversions (hours vs days), or stale data being imported.</w:t>
      </w:r>
    </w:p>
    <w:p w14:paraId="761F055E" w14:textId="77777777" w:rsidR="008D2B94" w:rsidRDefault="008D2B9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8D2B94" w14:paraId="761F0561" w14:textId="77777777">
        <w:tblPrEx>
          <w:tblCellMar>
            <w:top w:w="0" w:type="dxa"/>
            <w:bottom w:w="0" w:type="dxa"/>
          </w:tblCellMar>
        </w:tblPrEx>
        <w:tc>
          <w:tcPr>
            <w:tcW w:w="120" w:type="dxa"/>
            <w:tcBorders>
              <w:top w:val="none" w:sz="0" w:space="0" w:color="FFFFFF"/>
              <w:left w:val="single" w:sz="12" w:space="0" w:color="DC7C3A"/>
              <w:bottom w:val="none" w:sz="0" w:space="0" w:color="FFFFFF"/>
              <w:right w:val="none" w:sz="0" w:space="0" w:color="FFFFFF"/>
            </w:tcBorders>
            <w:shd w:val="clear" w:color="auto" w:fill="FFF8F0"/>
          </w:tcPr>
          <w:p w14:paraId="761F055F" w14:textId="77777777" w:rsidR="008D2B94" w:rsidRDefault="008D2B94"/>
        </w:tc>
        <w:tc>
          <w:tcPr>
            <w:tcW w:w="9240" w:type="dxa"/>
            <w:tcBorders>
              <w:top w:val="none" w:sz="0" w:space="0" w:color="FFFFFF"/>
              <w:left w:val="none" w:sz="0" w:space="0" w:color="FFFFFF"/>
              <w:bottom w:val="none" w:sz="0" w:space="0" w:color="FFFFFF"/>
              <w:right w:val="none" w:sz="0" w:space="0" w:color="FFFFFF"/>
            </w:tcBorders>
            <w:shd w:val="clear" w:color="auto" w:fill="FFF8F0"/>
            <w:tcMar>
              <w:top w:w="100" w:type="dxa"/>
              <w:left w:w="160" w:type="dxa"/>
              <w:bottom w:w="100" w:type="dxa"/>
              <w:right w:w="160" w:type="dxa"/>
            </w:tcMar>
          </w:tcPr>
          <w:p w14:paraId="761F0560" w14:textId="3A1DC93D" w:rsidR="008D2B94" w:rsidRDefault="000E6516">
            <w:r>
              <w:rPr>
                <w:i/>
                <w:iCs/>
                <w:color w:val="374151"/>
                <w:sz w:val="20"/>
                <w:szCs w:val="20"/>
              </w:rPr>
              <w:t xml:space="preserve">On the question of API connectivity: Smartly and IMS/MYOB do not currently expose public APIs to Simplifi for leave balance data. While a direct integration would be the ideal long-term solution, it is simply not available today. In the meantime, expecting clients to absorb a more manual or degraded workflow is not a realistic option — particularly when competing platforms already offer seamless leave balance imports. This tool bridges that gap now, with no burden placed on the client.</w:t>
            </w:r>
          </w:p>
        </w:tc>
      </w:tr>
    </w:tbl>
    <w:p w14:paraId="761F0562" w14:textId="77777777" w:rsidR="008D2B94" w:rsidRDefault="008D2B9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B94" w14:paraId="761F05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3057"/>
            <w:tcMar>
              <w:top w:w="120" w:type="dxa"/>
              <w:left w:w="200" w:type="dxa"/>
              <w:bottom w:w="120" w:type="dxa"/>
              <w:right w:w="200" w:type="dxa"/>
            </w:tcMar>
          </w:tcPr>
          <w:p w14:paraId="761F0563" w14:textId="77777777" w:rsidR="008D2B94" w:rsidRDefault="000E6516">
            <w:r>
              <w:rPr>
                <w:b/>
                <w:bCs/>
                <w:color w:val="FFFFFF"/>
                <w:sz w:val="26"/>
                <w:szCs w:val="26"/>
              </w:rPr>
              <w:t>2.  What the Tool Does</w:t>
            </w:r>
          </w:p>
        </w:tc>
      </w:tr>
    </w:tbl>
    <w:p w14:paraId="761F0565" w14:textId="77777777" w:rsidR="008D2B94" w:rsidRDefault="008D2B94">
      <w:pPr>
        <w:spacing w:after="100"/>
      </w:pPr>
    </w:p>
    <w:p w14:paraId="761F0566" w14:textId="77777777" w:rsidR="008D2B94" w:rsidRDefault="000E6516">
      <w:pPr>
        <w:spacing w:after="160"/>
      </w:pPr>
      <w:r>
        <w:rPr>
          <w:color w:val="374151"/>
        </w:rPr>
        <w:t>The Leave Balance Converter is a lightweight, single-page web application that eliminates the manual transformation step entirely. A payroll administrator:</w:t>
      </w:r>
    </w:p>
    <w:p w14:paraId="761F0567" w14:textId="77777777" w:rsidR="008D2B94" w:rsidRDefault="008D2B94">
      <w:pPr>
        <w:spacing w:after="60"/>
      </w:pPr>
    </w:p>
    <w:p w14:paraId="761F0568" w14:textId="77777777" w:rsidR="008D2B94" w:rsidRDefault="000E6516">
      <w:pPr>
        <w:pStyle w:val="ListParagraph"/>
        <w:numPr>
          <w:ilvl w:val="0"/>
          <w:numId w:val="2"/>
        </w:numPr>
        <w:spacing w:after="100"/>
      </w:pPr>
      <w:r>
        <w:rPr>
          <w:color w:val="374151"/>
        </w:rPr>
        <w:t xml:space="preserve"> Selects their payroll provider (Smartly, IMS/MYOB or Rocket).</w:t>
      </w:r>
    </w:p>
    <w:p w14:paraId="761F0569" w14:textId="77777777" w:rsidR="008D2B94" w:rsidRDefault="000E6516">
      <w:pPr>
        <w:pStyle w:val="ListParagraph"/>
        <w:numPr>
          <w:ilvl w:val="0"/>
          <w:numId w:val="2"/>
        </w:numPr>
        <w:spacing w:after="100"/>
      </w:pPr>
      <w:r>
        <w:rPr>
          <w:color w:val="374151"/>
        </w:rPr>
        <w:t xml:space="preserve"> Drops or browses to their exported CSV leave balance file.</w:t>
      </w:r>
    </w:p>
    <w:p w14:paraId="761F056A" w14:textId="77777777" w:rsidR="008D2B94" w:rsidRDefault="000E6516">
      <w:pPr>
        <w:pStyle w:val="ListParagraph"/>
        <w:numPr>
          <w:ilvl w:val="0"/>
          <w:numId w:val="2"/>
        </w:numPr>
        <w:spacing w:after="100"/>
      </w:pPr>
      <w:r>
        <w:rPr>
          <w:color w:val="374151"/>
        </w:rPr>
        <w:t xml:space="preserve"> Chooses optional output settings (skip zero balances, select specific leave codes).</w:t>
      </w:r>
    </w:p>
    <w:p w14:paraId="761F056B" w14:textId="77777777" w:rsidR="008D2B94" w:rsidRDefault="000E6516">
      <w:pPr>
        <w:pStyle w:val="ListParagraph"/>
        <w:numPr>
          <w:ilvl w:val="0"/>
          <w:numId w:val="2"/>
        </w:numPr>
        <w:spacing w:after="100"/>
      </w:pPr>
      <w:r>
        <w:rPr>
          <w:color w:val="374151"/>
        </w:rPr>
        <w:t xml:space="preserve"> Reviews a live preview table and downloads a Simplifi-ready CSV in one click.</w:t>
      </w:r>
    </w:p>
    <w:p w14:paraId="761F056C" w14:textId="77777777" w:rsidR="008D2B94" w:rsidRDefault="008D2B94">
      <w:pPr>
        <w:spacing w:after="100"/>
      </w:pPr>
    </w:p>
    <w:p w14:paraId="761F056D" w14:textId="23BDFDE8" w:rsidR="008D2B94" w:rsidRDefault="000E6516">
      <w:pPr>
        <w:spacing w:after="160"/>
      </w:pPr>
      <w:r>
        <w:rPr>
          <w:color w:val="374151"/>
        </w:rPr>
        <w:t xml:space="preserve">The entire workflow takes under 60 seconds and requires no technical knowledge. </w:t>
      </w:r>
    </w:p>
    <w:p w14:paraId="761F056E" w14:textId="77777777" w:rsidR="008D2B94" w:rsidRDefault="008D2B9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B94" w14:paraId="761F05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3057"/>
            <w:tcMar>
              <w:top w:w="120" w:type="dxa"/>
              <w:left w:w="200" w:type="dxa"/>
              <w:bottom w:w="120" w:type="dxa"/>
              <w:right w:w="200" w:type="dxa"/>
            </w:tcMar>
          </w:tcPr>
          <w:p w14:paraId="761F056F" w14:textId="77777777" w:rsidR="008D2B94" w:rsidRDefault="000E6516">
            <w:r>
              <w:rPr>
                <w:b/>
                <w:bCs/>
                <w:color w:val="FFFFFF"/>
                <w:sz w:val="26"/>
                <w:szCs w:val="26"/>
              </w:rPr>
              <w:t>3.  Technical Architecture</w:t>
            </w:r>
          </w:p>
        </w:tc>
      </w:tr>
    </w:tbl>
    <w:p w14:paraId="761F0571" w14:textId="77777777" w:rsidR="008D2B94" w:rsidRDefault="008D2B94">
      <w:pPr>
        <w:spacing w:after="100"/>
      </w:pPr>
    </w:p>
    <w:p w14:paraId="761F0572" w14:textId="77777777" w:rsidR="008D2B94" w:rsidRDefault="000E6516">
      <w:pPr>
        <w:spacing w:after="160"/>
      </w:pPr>
      <w:r>
        <w:rPr>
          <w:color w:val="374151"/>
        </w:rPr>
        <w:t>The application is intentionally simple by design — a deliberate architectural choice to maximise security, minimise maintenance overhead, and eliminate infrastructure dependencies.</w:t>
      </w:r>
    </w:p>
    <w:p w14:paraId="761F0573" w14:textId="77777777" w:rsidR="008D2B94" w:rsidRDefault="008D2B9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D2B94" w14:paraId="761F0576"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74" w14:textId="77777777" w:rsidR="008D2B94" w:rsidRDefault="000E6516">
            <w:r>
              <w:rPr>
                <w:b/>
                <w:bCs/>
                <w:color w:val="063057"/>
                <w:sz w:val="20"/>
                <w:szCs w:val="20"/>
              </w:rPr>
              <w:t>Type</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75" w14:textId="77777777" w:rsidR="008D2B94" w:rsidRDefault="000E6516">
            <w:r>
              <w:rPr>
                <w:color w:val="374151"/>
                <w:sz w:val="20"/>
                <w:szCs w:val="20"/>
              </w:rPr>
              <w:t>Static single-page application (SPA)</w:t>
            </w:r>
          </w:p>
        </w:tc>
      </w:tr>
      <w:tr w:rsidR="008D2B94" w14:paraId="761F0579"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77" w14:textId="77777777" w:rsidR="008D2B94" w:rsidRDefault="000E6516">
            <w:r>
              <w:rPr>
                <w:b/>
                <w:bCs/>
                <w:color w:val="063057"/>
                <w:sz w:val="20"/>
                <w:szCs w:val="20"/>
              </w:rPr>
              <w:t>Language</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78" w14:textId="77777777" w:rsidR="008D2B94" w:rsidRDefault="000E6516">
            <w:r>
              <w:rPr>
                <w:color w:val="374151"/>
                <w:sz w:val="20"/>
                <w:szCs w:val="20"/>
              </w:rPr>
              <w:t>Vanilla HTML5, CSS3, and JavaScript — no framework, no build step</w:t>
            </w:r>
          </w:p>
        </w:tc>
      </w:tr>
      <w:tr w:rsidR="008D2B94" w14:paraId="761F057C"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7A" w14:textId="77777777" w:rsidR="008D2B94" w:rsidRDefault="000E6516">
            <w:r>
              <w:rPr>
                <w:b/>
                <w:bCs/>
                <w:color w:val="063057"/>
                <w:sz w:val="20"/>
                <w:szCs w:val="20"/>
              </w:rPr>
              <w:t>File count</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7B" w14:textId="77777777" w:rsidR="008D2B94" w:rsidRDefault="000E6516">
            <w:r>
              <w:rPr>
                <w:color w:val="374151"/>
                <w:sz w:val="20"/>
                <w:szCs w:val="20"/>
              </w:rPr>
              <w:t>One file: index.html (all logic, styles, and markup are self-contained)</w:t>
            </w:r>
          </w:p>
        </w:tc>
      </w:tr>
      <w:tr w:rsidR="008D2B94" w14:paraId="761F057F"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7D" w14:textId="77777777" w:rsidR="008D2B94" w:rsidRDefault="000E6516">
            <w:r>
              <w:rPr>
                <w:b/>
                <w:bCs/>
                <w:color w:val="063057"/>
                <w:sz w:val="20"/>
                <w:szCs w:val="20"/>
              </w:rPr>
              <w:t>Dependencies</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7E" w14:textId="77777777" w:rsidR="008D2B94" w:rsidRDefault="000E6516">
            <w:r>
              <w:rPr>
                <w:color w:val="374151"/>
                <w:sz w:val="20"/>
                <w:szCs w:val="20"/>
              </w:rPr>
              <w:t>None — zero external libraries or npm packages</w:t>
            </w:r>
          </w:p>
        </w:tc>
      </w:tr>
      <w:tr w:rsidR="008D2B94" w14:paraId="761F0582"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80" w14:textId="77777777" w:rsidR="008D2B94" w:rsidRDefault="000E6516">
            <w:r>
              <w:rPr>
                <w:b/>
                <w:bCs/>
                <w:color w:val="063057"/>
                <w:sz w:val="20"/>
                <w:szCs w:val="20"/>
              </w:rPr>
              <w:t>Data processing</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81" w14:textId="77777777" w:rsidR="008D2B94" w:rsidRDefault="000E6516">
            <w:r>
              <w:rPr>
                <w:color w:val="374151"/>
                <w:sz w:val="20"/>
                <w:szCs w:val="20"/>
              </w:rPr>
              <w:t>All CSV parsing and data transformation runs in the user's browser via the Web APIs (FileReader, Blob, URL.createObjectURL)</w:t>
            </w:r>
          </w:p>
        </w:tc>
      </w:tr>
      <w:tr w:rsidR="008D2B94" w14:paraId="761F0585"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83" w14:textId="77777777" w:rsidR="008D2B94" w:rsidRDefault="000E6516">
            <w:r>
              <w:rPr>
                <w:b/>
                <w:bCs/>
                <w:color w:val="063057"/>
                <w:sz w:val="20"/>
                <w:szCs w:val="20"/>
              </w:rPr>
              <w:t>Server</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84" w14:textId="77777777" w:rsidR="008D2B94" w:rsidRDefault="000E6516">
            <w:r>
              <w:rPr>
                <w:color w:val="374151"/>
                <w:sz w:val="20"/>
                <w:szCs w:val="20"/>
              </w:rPr>
              <w:t>None — the application has no backend, no API calls, and no server-side logic</w:t>
            </w:r>
          </w:p>
        </w:tc>
      </w:tr>
      <w:tr w:rsidR="008D2B94" w14:paraId="761F0588"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86" w14:textId="77777777" w:rsidR="008D2B94" w:rsidRDefault="000E6516">
            <w:r>
              <w:rPr>
                <w:b/>
                <w:bCs/>
                <w:color w:val="063057"/>
                <w:sz w:val="20"/>
                <w:szCs w:val="20"/>
              </w:rPr>
              <w:t>Browser support</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87" w14:textId="77777777" w:rsidR="008D2B94" w:rsidRDefault="000E6516">
            <w:r>
              <w:rPr>
                <w:color w:val="374151"/>
                <w:sz w:val="20"/>
                <w:szCs w:val="20"/>
              </w:rPr>
              <w:t>All modern browsers (Chrome, Edge, Firefox, Safari)</w:t>
            </w:r>
          </w:p>
        </w:tc>
      </w:tr>
    </w:tbl>
    <w:p w14:paraId="761F0589" w14:textId="77777777" w:rsidR="008D2B94" w:rsidRDefault="008D2B94">
      <w:pPr>
        <w:spacing w:after="120"/>
      </w:pPr>
    </w:p>
    <w:p w14:paraId="761F058A" w14:textId="77777777" w:rsidR="008D2B94" w:rsidRDefault="000E6516">
      <w:pPr>
        <w:spacing w:after="160"/>
      </w:pPr>
      <w:r>
        <w:rPr>
          <w:color w:val="374151"/>
        </w:rPr>
        <w:t>Provider support is implemented as a plug-in pattern inside the JavaScript. Each provider has:</w:t>
      </w:r>
    </w:p>
    <w:p w14:paraId="761F058B" w14:textId="77777777" w:rsidR="008D2B94" w:rsidRDefault="008D2B94">
      <w:pPr>
        <w:spacing w:after="60"/>
      </w:pPr>
    </w:p>
    <w:p w14:paraId="761F058C" w14:textId="77777777" w:rsidR="008D2B94" w:rsidRDefault="000E6516">
      <w:pPr>
        <w:pStyle w:val="ListParagraph"/>
        <w:numPr>
          <w:ilvl w:val="0"/>
          <w:numId w:val="2"/>
        </w:numPr>
        <w:spacing w:after="100"/>
      </w:pPr>
      <w:r>
        <w:rPr>
          <w:color w:val="374151"/>
        </w:rPr>
        <w:t xml:space="preserve"> A detect() function that reads the first few lines of the uploaded CSV to identify the format automatically.</w:t>
      </w:r>
    </w:p>
    <w:p w14:paraId="761F058D" w14:textId="77777777" w:rsidR="008D2B94" w:rsidRDefault="000E6516">
      <w:pPr>
        <w:pStyle w:val="ListParagraph"/>
        <w:numPr>
          <w:ilvl w:val="0"/>
          <w:numId w:val="2"/>
        </w:numPr>
        <w:spacing w:after="100"/>
      </w:pPr>
      <w:r>
        <w:rPr>
          <w:color w:val="374151"/>
        </w:rPr>
        <w:t xml:space="preserve"> A parse() function that reads the provider-specific CSV structure into a normalised row array.</w:t>
      </w:r>
    </w:p>
    <w:p w14:paraId="761F058E" w14:textId="77777777" w:rsidR="008D2B94" w:rsidRDefault="000E6516">
      <w:pPr>
        <w:pStyle w:val="ListParagraph"/>
        <w:numPr>
          <w:ilvl w:val="0"/>
          <w:numId w:val="2"/>
        </w:numPr>
        <w:spacing w:after="100"/>
      </w:pPr>
      <w:r>
        <w:rPr>
          <w:color w:val="374151"/>
        </w:rPr>
        <w:t xml:space="preserve"> A convert() function that maps the normalised rows into Simplifi's import column format.</w:t>
      </w:r>
    </w:p>
    <w:p w14:paraId="761F058F" w14:textId="77777777" w:rsidR="008D2B94" w:rsidRDefault="008D2B94">
      <w:pPr>
        <w:spacing w:after="100"/>
      </w:pPr>
    </w:p>
    <w:p w14:paraId="761F0590" w14:textId="77777777" w:rsidR="008D2B94" w:rsidRDefault="000E6516">
      <w:pPr>
        <w:spacing w:after="160"/>
      </w:pPr>
      <w:r>
        <w:rPr>
          <w:color w:val="374151"/>
        </w:rPr>
        <w:t>Current providers: Smartly, IMS/MYOB and Rocket. IMS/MYOB has two supported export formats, the Employee Leave report and the Total Leave report. Both sit under the IMS / MYOB button and are told apart automatically by detect().</w:t>
      </w:r>
    </w:p>
    <w:p w14:paraId="761F0591" w14:textId="77777777" w:rsidR="008D2B94" w:rsidRDefault="008D2B9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B94" w14:paraId="761F05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3057"/>
            <w:tcMar>
              <w:top w:w="120" w:type="dxa"/>
              <w:left w:w="200" w:type="dxa"/>
              <w:bottom w:w="120" w:type="dxa"/>
              <w:right w:w="200" w:type="dxa"/>
            </w:tcMar>
          </w:tcPr>
          <w:p w14:paraId="761F0592" w14:textId="77777777" w:rsidR="008D2B94" w:rsidRDefault="000E6516">
            <w:r>
              <w:rPr>
                <w:b/>
                <w:bCs/>
                <w:color w:val="FFFFFF"/>
                <w:sz w:val="26"/>
                <w:szCs w:val="26"/>
              </w:rPr>
              <w:t>4.  Security &amp; Data Privacy</w:t>
            </w:r>
          </w:p>
        </w:tc>
      </w:tr>
    </w:tbl>
    <w:p w14:paraId="761F0594" w14:textId="77777777" w:rsidR="008D2B94" w:rsidRDefault="008D2B94">
      <w:pPr>
        <w:spacing w:after="100"/>
      </w:pPr>
    </w:p>
    <w:p w14:paraId="761F0595" w14:textId="77777777" w:rsidR="008D2B94" w:rsidRDefault="000E6516">
      <w:pPr>
        <w:spacing w:after="160"/>
      </w:pPr>
      <w:r>
        <w:rPr>
          <w:color w:val="374151"/>
        </w:rPr>
        <w:t>Data privacy was a primary design constraint. The following guarantees are built into the architecture:</w:t>
      </w:r>
    </w:p>
    <w:p w14:paraId="761F0596" w14:textId="77777777" w:rsidR="008D2B94" w:rsidRDefault="008D2B9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8D2B94" w14:paraId="761F0599" w14:textId="77777777">
        <w:tblPrEx>
          <w:tblCellMar>
            <w:top w:w="0" w:type="dxa"/>
            <w:bottom w:w="0" w:type="dxa"/>
          </w:tblCellMar>
        </w:tblPrEx>
        <w:tc>
          <w:tcPr>
            <w:tcW w:w="120" w:type="dxa"/>
            <w:tcBorders>
              <w:top w:val="none" w:sz="0" w:space="0" w:color="FFFFFF"/>
              <w:left w:val="single" w:sz="12" w:space="0" w:color="26B1E7"/>
              <w:bottom w:val="none" w:sz="0" w:space="0" w:color="FFFFFF"/>
              <w:right w:val="none" w:sz="0" w:space="0" w:color="FFFFFF"/>
            </w:tcBorders>
            <w:shd w:val="clear" w:color="auto" w:fill="E8F5FC"/>
          </w:tcPr>
          <w:p w14:paraId="761F0597" w14:textId="77777777" w:rsidR="008D2B94" w:rsidRDefault="008D2B94"/>
        </w:tc>
        <w:tc>
          <w:tcPr>
            <w:tcW w:w="9240" w:type="dxa"/>
            <w:tcBorders>
              <w:top w:val="none" w:sz="0" w:space="0" w:color="FFFFFF"/>
              <w:left w:val="none" w:sz="0" w:space="0" w:color="FFFFFF"/>
              <w:bottom w:val="none" w:sz="0" w:space="0" w:color="FFFFFF"/>
              <w:right w:val="none" w:sz="0" w:space="0" w:color="FFFFFF"/>
            </w:tcBorders>
            <w:shd w:val="clear" w:color="auto" w:fill="E8F5FC"/>
            <w:tcMar>
              <w:top w:w="100" w:type="dxa"/>
              <w:left w:w="160" w:type="dxa"/>
              <w:bottom w:w="100" w:type="dxa"/>
              <w:right w:w="160" w:type="dxa"/>
            </w:tcMar>
          </w:tcPr>
          <w:p w14:paraId="761F0598" w14:textId="77777777" w:rsidR="008D2B94" w:rsidRDefault="000E6516">
            <w:r>
              <w:rPr>
                <w:i/>
                <w:iCs/>
                <w:color w:val="374151"/>
                <w:sz w:val="20"/>
                <w:szCs w:val="20"/>
              </w:rPr>
              <w:t>No employee data — names, IDs, balances, or any other personal information — ever leaves the user's device. The application does not transmit, store, log, or cache any data from uploaded files.</w:t>
            </w:r>
          </w:p>
        </w:tc>
      </w:tr>
    </w:tbl>
    <w:p w14:paraId="761F059A" w14:textId="77777777" w:rsidR="008D2B94" w:rsidRDefault="008D2B9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D2B94" w14:paraId="761F059D"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9B" w14:textId="77777777" w:rsidR="008D2B94" w:rsidRDefault="000E6516">
            <w:r>
              <w:rPr>
                <w:b/>
                <w:bCs/>
                <w:color w:val="063057"/>
                <w:sz w:val="20"/>
                <w:szCs w:val="20"/>
              </w:rPr>
              <w:t>Network requests</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9C" w14:textId="77777777" w:rsidR="008D2B94" w:rsidRDefault="000E6516">
            <w:r>
              <w:rPr>
                <w:color w:val="374151"/>
                <w:sz w:val="20"/>
                <w:szCs w:val="20"/>
              </w:rPr>
              <w:t>Zero. The page makes no HTTP calls after initial load. There is no analytics, no telemetry, no third-party scripts.</w:t>
            </w:r>
          </w:p>
        </w:tc>
      </w:tr>
      <w:tr w:rsidR="008D2B94" w14:paraId="761F05A0"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9E" w14:textId="77777777" w:rsidR="008D2B94" w:rsidRDefault="000E6516">
            <w:r>
              <w:rPr>
                <w:b/>
                <w:bCs/>
                <w:color w:val="063057"/>
                <w:sz w:val="20"/>
                <w:szCs w:val="20"/>
              </w:rPr>
              <w:t>PII ingestion</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9F" w14:textId="77777777" w:rsidR="008D2B94" w:rsidRDefault="000E6516">
            <w:r>
              <w:rPr>
                <w:color w:val="374151"/>
                <w:sz w:val="20"/>
                <w:szCs w:val="20"/>
              </w:rPr>
              <w:t>None. File contents are read by the browser's FileReader API and processed entirely in JavaScript memory. Data is never written to disk, a database, or any remote endpoint.</w:t>
            </w:r>
          </w:p>
        </w:tc>
      </w:tr>
      <w:tr w:rsidR="008D2B94" w14:paraId="761F05A3"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A1" w14:textId="77777777" w:rsidR="008D2B94" w:rsidRDefault="000E6516">
            <w:r>
              <w:rPr>
                <w:b/>
                <w:bCs/>
                <w:color w:val="063057"/>
                <w:sz w:val="20"/>
                <w:szCs w:val="20"/>
              </w:rPr>
              <w:t>Data retention</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A2" w14:textId="77777777" w:rsidR="008D2B94" w:rsidRDefault="000E6516">
            <w:r>
              <w:rPr>
                <w:color w:val="374151"/>
                <w:sz w:val="20"/>
                <w:szCs w:val="20"/>
              </w:rPr>
              <w:t>None. All processed data lives in JavaScript variables and is discarded when the tab is closed or the user clicks "Start over".</w:t>
            </w:r>
          </w:p>
        </w:tc>
      </w:tr>
      <w:tr w:rsidR="008D2B94" w14:paraId="761F05A6"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A4" w14:textId="77777777" w:rsidR="008D2B94" w:rsidRDefault="000E6516">
            <w:r>
              <w:rPr>
                <w:b/>
                <w:bCs/>
                <w:color w:val="063057"/>
                <w:sz w:val="20"/>
                <w:szCs w:val="20"/>
              </w:rPr>
              <w:t>Authentication</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A5" w14:textId="77777777" w:rsidR="008D2B94" w:rsidRDefault="000E6516">
            <w:r>
              <w:rPr>
                <w:color w:val="374151"/>
                <w:sz w:val="20"/>
                <w:szCs w:val="20"/>
              </w:rPr>
              <w:t>Not required. The tool is intentionally public-facing within the Simplifi ecosystem — access control is handled at the hosting layer.</w:t>
            </w:r>
          </w:p>
        </w:tc>
      </w:tr>
      <w:tr w:rsidR="008D2B94" w14:paraId="761F05A9"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A7" w14:textId="77777777" w:rsidR="008D2B94" w:rsidRDefault="000E6516">
            <w:r>
              <w:rPr>
                <w:b/>
                <w:bCs/>
                <w:color w:val="063057"/>
                <w:sz w:val="20"/>
                <w:szCs w:val="20"/>
              </w:rPr>
              <w:t>File upload</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A8" w14:textId="77777777" w:rsidR="008D2B94" w:rsidRDefault="000E6516">
            <w:r>
              <w:rPr>
                <w:color w:val="374151"/>
                <w:sz w:val="20"/>
                <w:szCs w:val="20"/>
              </w:rPr>
              <w:t>No upload occurs. The browser reads the file locally via the File API. The "upload" is a local file-read operation only.</w:t>
            </w:r>
          </w:p>
        </w:tc>
      </w:tr>
      <w:tr w:rsidR="008D2B94" w14:paraId="761F05AC"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AA" w14:textId="77777777" w:rsidR="008D2B94" w:rsidRDefault="000E6516">
            <w:r>
              <w:rPr>
                <w:b/>
                <w:bCs/>
                <w:color w:val="063057"/>
                <w:sz w:val="20"/>
                <w:szCs w:val="20"/>
              </w:rPr>
              <w:t>Dependencies</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AB" w14:textId="77777777" w:rsidR="008D2B94" w:rsidRDefault="000E6516">
            <w:r>
              <w:rPr>
                <w:color w:val="374151"/>
                <w:sz w:val="20"/>
                <w:szCs w:val="20"/>
              </w:rPr>
              <w:t>No third-party JavaScript libraries are loaded, eliminating supply-chain risk entirely.</w:t>
            </w:r>
          </w:p>
        </w:tc>
      </w:tr>
    </w:tbl>
    <w:p w14:paraId="761F05AD" w14:textId="77777777" w:rsidR="008D2B94" w:rsidRDefault="008D2B94">
      <w:pPr>
        <w:spacing w:after="120"/>
      </w:pPr>
    </w:p>
    <w:p w14:paraId="761F05AE" w14:textId="77777777" w:rsidR="008D2B94" w:rsidRDefault="000E6516">
      <w:pPr>
        <w:spacing w:after="160"/>
      </w:pPr>
      <w:r>
        <w:rPr>
          <w:i/>
          <w:iCs/>
          <w:color w:val="374151"/>
        </w:rPr>
        <w:t>The footer of the application displays the following notice, visible to all users:</w:t>
      </w:r>
    </w:p>
    <w:p w14:paraId="761F05AF" w14:textId="77777777" w:rsidR="008D2B94" w:rsidRDefault="008D2B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
        <w:gridCol w:w="9240"/>
      </w:tblGrid>
      <w:tr w:rsidR="008D2B94" w14:paraId="761F05B2" w14:textId="77777777">
        <w:tblPrEx>
          <w:tblCellMar>
            <w:top w:w="0" w:type="dxa"/>
            <w:bottom w:w="0" w:type="dxa"/>
          </w:tblCellMar>
        </w:tblPrEx>
        <w:tc>
          <w:tcPr>
            <w:tcW w:w="120" w:type="dxa"/>
            <w:tcBorders>
              <w:top w:val="none" w:sz="0" w:space="0" w:color="FFFFFF"/>
              <w:left w:val="single" w:sz="12" w:space="0" w:color="E5E7EB"/>
              <w:bottom w:val="none" w:sz="0" w:space="0" w:color="FFFFFF"/>
              <w:right w:val="none" w:sz="0" w:space="0" w:color="FFFFFF"/>
            </w:tcBorders>
            <w:shd w:val="clear" w:color="auto" w:fill="F8F9FA"/>
          </w:tcPr>
          <w:p w14:paraId="761F05B0" w14:textId="77777777" w:rsidR="008D2B94" w:rsidRDefault="008D2B94"/>
        </w:tc>
        <w:tc>
          <w:tcPr>
            <w:tcW w:w="9240" w:type="dxa"/>
            <w:tcBorders>
              <w:top w:val="none" w:sz="0" w:space="0" w:color="FFFFFF"/>
              <w:left w:val="none" w:sz="0" w:space="0" w:color="FFFFFF"/>
              <w:bottom w:val="none" w:sz="0" w:space="0" w:color="FFFFFF"/>
              <w:right w:val="none" w:sz="0" w:space="0" w:color="FFFFFF"/>
            </w:tcBorders>
            <w:shd w:val="clear" w:color="auto" w:fill="F8F9FA"/>
            <w:tcMar>
              <w:top w:w="100" w:type="dxa"/>
              <w:left w:w="160" w:type="dxa"/>
              <w:bottom w:w="100" w:type="dxa"/>
              <w:right w:w="160" w:type="dxa"/>
            </w:tcMar>
          </w:tcPr>
          <w:p w14:paraId="761F05B1" w14:textId="77777777" w:rsidR="008D2B94" w:rsidRDefault="000E6516">
            <w:r>
              <w:rPr>
                <w:i/>
                <w:iCs/>
                <w:color w:val="374151"/>
                <w:sz w:val="20"/>
                <w:szCs w:val="20"/>
              </w:rPr>
              <w:t>"All data is processed locally in your browser — nothing is sent to any server."</w:t>
            </w:r>
          </w:p>
        </w:tc>
      </w:tr>
    </w:tbl>
    <w:p w14:paraId="761F05B3" w14:textId="77777777" w:rsidR="008D2B94" w:rsidRDefault="008D2B9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B94" w14:paraId="761F05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3057"/>
            <w:tcMar>
              <w:top w:w="120" w:type="dxa"/>
              <w:left w:w="200" w:type="dxa"/>
              <w:bottom w:w="120" w:type="dxa"/>
              <w:right w:w="200" w:type="dxa"/>
            </w:tcMar>
          </w:tcPr>
          <w:p w14:paraId="761F05B4" w14:textId="77777777" w:rsidR="008D2B94" w:rsidRDefault="000E6516">
            <w:r>
              <w:rPr>
                <w:b/>
                <w:bCs/>
                <w:color w:val="FFFFFF"/>
                <w:sz w:val="26"/>
                <w:szCs w:val="26"/>
              </w:rPr>
              <w:t>5.  Current Deployment</w:t>
            </w:r>
          </w:p>
        </w:tc>
      </w:tr>
    </w:tbl>
    <w:p w14:paraId="761F05B6" w14:textId="77777777" w:rsidR="008D2B94" w:rsidRDefault="008D2B94">
      <w:pPr>
        <w:spacing w:after="100"/>
      </w:pPr>
    </w:p>
    <w:p w14:paraId="761F05B7" w14:textId="77777777" w:rsidR="008D2B94" w:rsidRDefault="000E6516">
      <w:pPr>
        <w:spacing w:after="160"/>
      </w:pPr>
      <w:r>
        <w:rPr>
          <w:color w:val="374151"/>
        </w:rPr>
        <w:t>The tool is currently hosted via GitHub Pages from a personal GitHub repository. Details:</w:t>
      </w:r>
    </w:p>
    <w:p w14:paraId="761F05B8" w14:textId="77777777" w:rsidR="008D2B94" w:rsidRDefault="008D2B9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D2B94" w14:paraId="761F05BB"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B9" w14:textId="77777777" w:rsidR="008D2B94" w:rsidRDefault="000E6516">
            <w:r>
              <w:rPr>
                <w:b/>
                <w:bCs/>
                <w:color w:val="063057"/>
                <w:sz w:val="20"/>
                <w:szCs w:val="20"/>
              </w:rPr>
              <w:t>Repository</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BA" w14:textId="77777777" w:rsidR="008D2B94" w:rsidRDefault="000E6516">
            <w:r>
              <w:rPr>
                <w:color w:val="374151"/>
                <w:sz w:val="20"/>
                <w:szCs w:val="20"/>
              </w:rPr>
              <w:t>https://github.com/Jamie-Callawick/Leave-Balance-Worker-App</w:t>
            </w:r>
          </w:p>
        </w:tc>
      </w:tr>
      <w:tr w:rsidR="008D2B94" w14:paraId="761F05BE"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BC" w14:textId="77777777" w:rsidR="008D2B94" w:rsidRDefault="000E6516">
            <w:r>
              <w:rPr>
                <w:b/>
                <w:bCs/>
                <w:color w:val="063057"/>
                <w:sz w:val="20"/>
                <w:szCs w:val="20"/>
              </w:rPr>
              <w:t>Owner</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BD" w14:textId="77777777" w:rsidR="008D2B94" w:rsidRDefault="000E6516">
            <w:r>
              <w:rPr>
                <w:color w:val="374151"/>
                <w:sz w:val="20"/>
                <w:szCs w:val="20"/>
              </w:rPr>
              <w:t>Personal account — Jamie Callawick (Jamie-Callawick)</w:t>
            </w:r>
          </w:p>
        </w:tc>
      </w:tr>
      <w:tr w:rsidR="008D2B94" w14:paraId="761F05C1"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BF" w14:textId="77777777" w:rsidR="008D2B94" w:rsidRDefault="000E6516">
            <w:r>
              <w:rPr>
                <w:b/>
                <w:bCs/>
                <w:color w:val="063057"/>
                <w:sz w:val="20"/>
                <w:szCs w:val="20"/>
              </w:rPr>
              <w:t>Branches</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C0" w14:textId="77777777" w:rsidR="008D2B94" w:rsidRDefault="000E6516">
            <w:r>
              <w:rPr>
                <w:color w:val="374151"/>
                <w:sz w:val="20"/>
                <w:szCs w:val="20"/>
              </w:rPr>
              <w:t>main (production), Dev (development / staging)</w:t>
            </w:r>
          </w:p>
        </w:tc>
      </w:tr>
      <w:tr w:rsidR="008D2B94" w14:paraId="761F05C4"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C2" w14:textId="77777777" w:rsidR="008D2B94" w:rsidRDefault="000E6516">
            <w:r>
              <w:rPr>
                <w:b/>
                <w:bCs/>
                <w:color w:val="063057"/>
                <w:sz w:val="20"/>
                <w:szCs w:val="20"/>
              </w:rPr>
              <w:t>Hosting</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C3" w14:textId="77777777" w:rsidR="008D2B94" w:rsidRDefault="000E6516">
            <w:r>
              <w:rPr>
                <w:color w:val="374151"/>
                <w:sz w:val="20"/>
                <w:szCs w:val="20"/>
              </w:rPr>
              <w:t>GitHub Pages — served as a static site directly from the repository</w:t>
            </w:r>
          </w:p>
        </w:tc>
      </w:tr>
      <w:tr w:rsidR="008D2B94" w14:paraId="761F05C7"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C5" w14:textId="77777777" w:rsidR="008D2B94" w:rsidRDefault="000E6516">
            <w:r>
              <w:rPr>
                <w:b/>
                <w:bCs/>
                <w:color w:val="063057"/>
                <w:sz w:val="20"/>
                <w:szCs w:val="20"/>
              </w:rPr>
              <w:t>URL format</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C6" w14:textId="4D0134E7" w:rsidR="008D2B94" w:rsidRDefault="006D2D12">
            <w:hyperlink r:id="rId7" w:history="1">
              <w:r>
                <w:rPr>
                  <w:rStyle w:val="Hyperlink"/>
                  <w:sz w:val="20"/>
                  <w:szCs w:val="20"/>
                </w:rPr>
                <w:t>https://jamie-callawick.github.io/Leave-Balance-Worker-App/</w:t>
              </w:r>
            </w:hyperlink>
            <w:r>
              <w:rPr>
                <w:color w:val="374151"/>
                <w:sz w:val="20"/>
                <w:szCs w:val="20"/>
              </w:rPr>
              <w:t xml:space="preserve"> (current)</w:t>
            </w:r>
          </w:p>
        </w:tc>
      </w:tr>
      <w:tr w:rsidR="008D2B94" w14:paraId="761F05CA"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C8" w14:textId="77777777" w:rsidR="008D2B94" w:rsidRDefault="000E6516">
            <w:r>
              <w:rPr>
                <w:b/>
                <w:bCs/>
                <w:color w:val="063057"/>
                <w:sz w:val="20"/>
                <w:szCs w:val="20"/>
              </w:rPr>
              <w:t>Build process</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C9" w14:textId="77777777" w:rsidR="008D2B94" w:rsidRDefault="000E6516">
            <w:r>
              <w:rPr>
                <w:color w:val="374151"/>
                <w:sz w:val="20"/>
                <w:szCs w:val="20"/>
              </w:rPr>
              <w:t>None — changes pushed to main are immediately live. No CI/CD pipeline is currently configured.</w:t>
            </w:r>
          </w:p>
        </w:tc>
      </w:tr>
      <w:tr w:rsidR="008D2B94" w14:paraId="761F05CD"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CB" w14:textId="77777777" w:rsidR="008D2B94" w:rsidRDefault="000E6516">
            <w:r>
              <w:rPr>
                <w:b/>
                <w:bCs/>
                <w:color w:val="063057"/>
                <w:sz w:val="20"/>
                <w:szCs w:val="20"/>
              </w:rPr>
              <w:t>Access</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5CC" w14:textId="77777777" w:rsidR="008D2B94" w:rsidRDefault="000E6516">
            <w:r>
              <w:rPr>
                <w:color w:val="374151"/>
                <w:sz w:val="20"/>
                <w:szCs w:val="20"/>
              </w:rPr>
              <w:t>Publicly accessible via the GitHub Pages URL</w:t>
            </w:r>
          </w:p>
        </w:tc>
      </w:tr>
    </w:tbl>
    <w:p w14:paraId="761F05CE" w14:textId="77777777" w:rsidR="008D2B94" w:rsidRDefault="008D2B9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B94" w14:paraId="761F05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3057"/>
            <w:tcMar>
              <w:top w:w="120" w:type="dxa"/>
              <w:left w:w="200" w:type="dxa"/>
              <w:bottom w:w="120" w:type="dxa"/>
              <w:right w:w="200" w:type="dxa"/>
            </w:tcMar>
          </w:tcPr>
          <w:p w14:paraId="761F05CF" w14:textId="77777777" w:rsidR="008D2B94" w:rsidRDefault="000E6516">
            <w:r>
              <w:rPr>
                <w:b/>
                <w:bCs/>
                <w:color w:val="FFFFFF"/>
                <w:sz w:val="26"/>
                <w:szCs w:val="26"/>
              </w:rPr>
              <w:lastRenderedPageBreak/>
              <w:t>6.  Migration: Personal GitHub to Simplifi Organisation</w:t>
            </w:r>
          </w:p>
        </w:tc>
      </w:tr>
    </w:tbl>
    <w:p w14:paraId="761F05D1" w14:textId="77777777" w:rsidR="008D2B94" w:rsidRDefault="008D2B94">
      <w:pPr>
        <w:spacing w:after="100"/>
      </w:pPr>
    </w:p>
    <w:p w14:paraId="761F05D2" w14:textId="77777777" w:rsidR="008D2B94" w:rsidRDefault="000E6516">
      <w:pPr>
        <w:spacing w:after="160"/>
      </w:pPr>
      <w:r>
        <w:rPr>
          <w:color w:val="374151"/>
        </w:rPr>
        <w:t>Moving the repository from a personal account to the Simplifi GitHub organisation is a straightforward process. The steps below assume the Simplifi org already exists on GitHub. No code changes are required.</w:t>
      </w:r>
    </w:p>
    <w:p w14:paraId="761F05D3" w14:textId="77777777" w:rsidR="008D2B94" w:rsidRDefault="008D2B9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6260"/>
      </w:tblGrid>
      <w:tr w:rsidR="008D2B94" w14:paraId="761F05D7" w14:textId="77777777">
        <w:tblPrEx>
          <w:tblCellMar>
            <w:top w:w="0" w:type="dxa"/>
            <w:bottom w:w="0" w:type="dxa"/>
          </w:tblCellMar>
        </w:tblPrEx>
        <w:trPr>
          <w:cantSplit/>
        </w:trPr>
        <w:tc>
          <w:tcPr>
            <w:tcW w:w="500" w:type="dxa"/>
            <w:tcBorders>
              <w:top w:val="single" w:sz="1" w:space="0" w:color="E5E7EB"/>
              <w:left w:val="single" w:sz="1" w:space="0" w:color="E5E7EB"/>
              <w:bottom w:val="single" w:sz="1" w:space="0" w:color="E5E7EB"/>
              <w:right w:val="single" w:sz="1" w:space="0" w:color="E5E7EB"/>
            </w:tcBorders>
            <w:shd w:val="clear" w:color="auto" w:fill="063057"/>
            <w:tcMar>
              <w:top w:w="80" w:type="dxa"/>
              <w:left w:w="120" w:type="dxa"/>
              <w:bottom w:w="80" w:type="dxa"/>
              <w:right w:w="120" w:type="dxa"/>
            </w:tcMar>
            <w:vAlign w:val="center"/>
          </w:tcPr>
          <w:p w14:paraId="761F05D4" w14:textId="77777777" w:rsidR="008D2B94" w:rsidRDefault="000E6516">
            <w:pPr>
              <w:jc w:val="center"/>
            </w:pPr>
            <w:r>
              <w:rPr>
                <w:b/>
                <w:bCs/>
                <w:color w:val="FFFFFF"/>
              </w:rPr>
              <w:t>1</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20" w:type="dxa"/>
            </w:tcMar>
          </w:tcPr>
          <w:p w14:paraId="761F05D5" w14:textId="77777777" w:rsidR="008D2B94" w:rsidRDefault="000E6516">
            <w:r>
              <w:rPr>
                <w:b/>
                <w:bCs/>
                <w:color w:val="063057"/>
                <w:sz w:val="20"/>
                <w:szCs w:val="20"/>
              </w:rPr>
              <w:t>Create org repository</w:t>
            </w:r>
          </w:p>
        </w:tc>
        <w:tc>
          <w:tcPr>
            <w:tcW w:w="6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20" w:type="dxa"/>
            </w:tcMar>
          </w:tcPr>
          <w:p w14:paraId="761F05D6" w14:textId="77777777" w:rsidR="008D2B94" w:rsidRDefault="000E6516">
            <w:r>
              <w:rPr>
                <w:color w:val="374151"/>
                <w:sz w:val="20"/>
                <w:szCs w:val="20"/>
              </w:rPr>
              <w:t>Create a new repository called Leave-Balance-Worker-App (or equivalent) inside the Simplifi GitHub organisation. Set visibility to match your policy (private recommended during transition).</w:t>
            </w:r>
          </w:p>
        </w:tc>
      </w:tr>
      <w:tr w:rsidR="008D2B94" w14:paraId="761F05DB" w14:textId="77777777">
        <w:tblPrEx>
          <w:tblCellMar>
            <w:top w:w="0" w:type="dxa"/>
            <w:bottom w:w="0" w:type="dxa"/>
          </w:tblCellMar>
        </w:tblPrEx>
        <w:trPr>
          <w:cantSplit/>
        </w:trPr>
        <w:tc>
          <w:tcPr>
            <w:tcW w:w="500" w:type="dxa"/>
            <w:tcBorders>
              <w:top w:val="single" w:sz="1" w:space="0" w:color="E5E7EB"/>
              <w:left w:val="single" w:sz="1" w:space="0" w:color="E5E7EB"/>
              <w:bottom w:val="single" w:sz="1" w:space="0" w:color="E5E7EB"/>
              <w:right w:val="single" w:sz="1" w:space="0" w:color="E5E7EB"/>
            </w:tcBorders>
            <w:shd w:val="clear" w:color="auto" w:fill="063057"/>
            <w:tcMar>
              <w:top w:w="80" w:type="dxa"/>
              <w:left w:w="120" w:type="dxa"/>
              <w:bottom w:w="80" w:type="dxa"/>
              <w:right w:w="120" w:type="dxa"/>
            </w:tcMar>
            <w:vAlign w:val="center"/>
          </w:tcPr>
          <w:p w14:paraId="761F05D8" w14:textId="77777777" w:rsidR="008D2B94" w:rsidRDefault="000E6516">
            <w:pPr>
              <w:jc w:val="center"/>
            </w:pPr>
            <w:r>
              <w:rPr>
                <w:b/>
                <w:bCs/>
                <w:color w:val="FFFFFF"/>
              </w:rPr>
              <w:t>2</w:t>
            </w:r>
          </w:p>
        </w:tc>
        <w:tc>
          <w:tcPr>
            <w:tcW w:w="26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60" w:type="dxa"/>
              <w:bottom w:w="80" w:type="dxa"/>
              <w:right w:w="120" w:type="dxa"/>
            </w:tcMar>
          </w:tcPr>
          <w:p w14:paraId="761F05D9" w14:textId="77777777" w:rsidR="008D2B94" w:rsidRDefault="000E6516">
            <w:r>
              <w:rPr>
                <w:b/>
                <w:bCs/>
                <w:color w:val="063057"/>
                <w:sz w:val="20"/>
                <w:szCs w:val="20"/>
              </w:rPr>
              <w:t>Transfer or mirror</w:t>
            </w:r>
          </w:p>
        </w:tc>
        <w:tc>
          <w:tcPr>
            <w:tcW w:w="62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60" w:type="dxa"/>
              <w:bottom w:w="80" w:type="dxa"/>
              <w:right w:w="120" w:type="dxa"/>
            </w:tcMar>
          </w:tcPr>
          <w:p w14:paraId="761F05DA" w14:textId="77777777" w:rsidR="008D2B94" w:rsidRDefault="000E6516">
            <w:r>
              <w:rPr>
                <w:color w:val="374151"/>
                <w:sz w:val="20"/>
                <w:szCs w:val="20"/>
              </w:rPr>
              <w:t>Option A (recommended): Settings &gt; Danger Zone &gt; Transfer ownership &gt; select the Simplifi org. Preserves all git history, branches, and issues. Option B: Clone and push to a new org repo — use only if a clean slate is preferred.</w:t>
            </w:r>
          </w:p>
        </w:tc>
      </w:tr>
      <w:tr w:rsidR="008D2B94" w14:paraId="761F05DF" w14:textId="77777777">
        <w:tblPrEx>
          <w:tblCellMar>
            <w:top w:w="0" w:type="dxa"/>
            <w:bottom w:w="0" w:type="dxa"/>
          </w:tblCellMar>
        </w:tblPrEx>
        <w:trPr>
          <w:cantSplit/>
        </w:trPr>
        <w:tc>
          <w:tcPr>
            <w:tcW w:w="500" w:type="dxa"/>
            <w:tcBorders>
              <w:top w:val="single" w:sz="1" w:space="0" w:color="E5E7EB"/>
              <w:left w:val="single" w:sz="1" w:space="0" w:color="E5E7EB"/>
              <w:bottom w:val="single" w:sz="1" w:space="0" w:color="E5E7EB"/>
              <w:right w:val="single" w:sz="1" w:space="0" w:color="E5E7EB"/>
            </w:tcBorders>
            <w:shd w:val="clear" w:color="auto" w:fill="063057"/>
            <w:tcMar>
              <w:top w:w="80" w:type="dxa"/>
              <w:left w:w="120" w:type="dxa"/>
              <w:bottom w:w="80" w:type="dxa"/>
              <w:right w:w="120" w:type="dxa"/>
            </w:tcMar>
            <w:vAlign w:val="center"/>
          </w:tcPr>
          <w:p w14:paraId="761F05DC" w14:textId="77777777" w:rsidR="008D2B94" w:rsidRDefault="000E6516">
            <w:pPr>
              <w:jc w:val="center"/>
            </w:pPr>
            <w:r>
              <w:rPr>
                <w:b/>
                <w:bCs/>
                <w:color w:val="FFFFFF"/>
              </w:rPr>
              <w:t>3</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20" w:type="dxa"/>
            </w:tcMar>
          </w:tcPr>
          <w:p w14:paraId="761F05DD" w14:textId="77777777" w:rsidR="008D2B94" w:rsidRDefault="000E6516">
            <w:r>
              <w:rPr>
                <w:b/>
                <w:bCs/>
                <w:color w:val="063057"/>
                <w:sz w:val="20"/>
                <w:szCs w:val="20"/>
              </w:rPr>
              <w:t>Update GitHub Pages</w:t>
            </w:r>
          </w:p>
        </w:tc>
        <w:tc>
          <w:tcPr>
            <w:tcW w:w="6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20" w:type="dxa"/>
            </w:tcMar>
          </w:tcPr>
          <w:p w14:paraId="761F05DE" w14:textId="77777777" w:rsidR="008D2B94" w:rsidRDefault="000E6516">
            <w:r>
              <w:rPr>
                <w:color w:val="374151"/>
                <w:sz w:val="20"/>
                <w:szCs w:val="20"/>
              </w:rPr>
              <w:t>In the new org repository, go to Settings &gt; Pages &gt; set Source to the main branch (root). The public URL will become https://simplifi.github.io/Leave-Balance-Worker-App/ (adjust for org name).</w:t>
            </w:r>
          </w:p>
        </w:tc>
      </w:tr>
      <w:tr w:rsidR="008D2B94" w14:paraId="761F05E3" w14:textId="77777777">
        <w:tblPrEx>
          <w:tblCellMar>
            <w:top w:w="0" w:type="dxa"/>
            <w:bottom w:w="0" w:type="dxa"/>
          </w:tblCellMar>
        </w:tblPrEx>
        <w:trPr>
          <w:cantSplit/>
        </w:trPr>
        <w:tc>
          <w:tcPr>
            <w:tcW w:w="500" w:type="dxa"/>
            <w:tcBorders>
              <w:top w:val="single" w:sz="1" w:space="0" w:color="E5E7EB"/>
              <w:left w:val="single" w:sz="1" w:space="0" w:color="E5E7EB"/>
              <w:bottom w:val="single" w:sz="1" w:space="0" w:color="E5E7EB"/>
              <w:right w:val="single" w:sz="1" w:space="0" w:color="E5E7EB"/>
            </w:tcBorders>
            <w:shd w:val="clear" w:color="auto" w:fill="063057"/>
            <w:tcMar>
              <w:top w:w="80" w:type="dxa"/>
              <w:left w:w="120" w:type="dxa"/>
              <w:bottom w:w="80" w:type="dxa"/>
              <w:right w:w="120" w:type="dxa"/>
            </w:tcMar>
            <w:vAlign w:val="center"/>
          </w:tcPr>
          <w:p w14:paraId="761F05E0" w14:textId="77777777" w:rsidR="008D2B94" w:rsidRDefault="000E6516">
            <w:pPr>
              <w:jc w:val="center"/>
            </w:pPr>
            <w:r>
              <w:rPr>
                <w:b/>
                <w:bCs/>
                <w:color w:val="FFFFFF"/>
              </w:rPr>
              <w:t>4</w:t>
            </w:r>
          </w:p>
        </w:tc>
        <w:tc>
          <w:tcPr>
            <w:tcW w:w="26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60" w:type="dxa"/>
              <w:bottom w:w="80" w:type="dxa"/>
              <w:right w:w="120" w:type="dxa"/>
            </w:tcMar>
          </w:tcPr>
          <w:p w14:paraId="761F05E1" w14:textId="77777777" w:rsidR="008D2B94" w:rsidRDefault="000E6516">
            <w:r>
              <w:rPr>
                <w:b/>
                <w:bCs/>
                <w:color w:val="063057"/>
                <w:sz w:val="20"/>
                <w:szCs w:val="20"/>
              </w:rPr>
              <w:t>Update any shared links</w:t>
            </w:r>
          </w:p>
        </w:tc>
        <w:tc>
          <w:tcPr>
            <w:tcW w:w="62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60" w:type="dxa"/>
              <w:bottom w:w="80" w:type="dxa"/>
              <w:right w:w="120" w:type="dxa"/>
            </w:tcMar>
          </w:tcPr>
          <w:p w14:paraId="761F05E2" w14:textId="77777777" w:rsidR="008D2B94" w:rsidRDefault="000E6516">
            <w:r>
              <w:rPr>
                <w:color w:val="374151"/>
                <w:sz w:val="20"/>
                <w:szCs w:val="20"/>
              </w:rPr>
              <w:t>If the old GitHub Pages URL has been shared with clients or in documentation, update references to the new URL. GitHub Pages does not redirect the old URL after a transfer.</w:t>
            </w:r>
          </w:p>
        </w:tc>
      </w:tr>
      <w:tr w:rsidR="008D2B94" w14:paraId="761F05E7" w14:textId="77777777">
        <w:tblPrEx>
          <w:tblCellMar>
            <w:top w:w="0" w:type="dxa"/>
            <w:bottom w:w="0" w:type="dxa"/>
          </w:tblCellMar>
        </w:tblPrEx>
        <w:trPr>
          <w:cantSplit/>
        </w:trPr>
        <w:tc>
          <w:tcPr>
            <w:tcW w:w="500" w:type="dxa"/>
            <w:tcBorders>
              <w:top w:val="single" w:sz="1" w:space="0" w:color="E5E7EB"/>
              <w:left w:val="single" w:sz="1" w:space="0" w:color="E5E7EB"/>
              <w:bottom w:val="single" w:sz="1" w:space="0" w:color="E5E7EB"/>
              <w:right w:val="single" w:sz="1" w:space="0" w:color="E5E7EB"/>
            </w:tcBorders>
            <w:shd w:val="clear" w:color="auto" w:fill="063057"/>
            <w:tcMar>
              <w:top w:w="80" w:type="dxa"/>
              <w:left w:w="120" w:type="dxa"/>
              <w:bottom w:w="80" w:type="dxa"/>
              <w:right w:w="120" w:type="dxa"/>
            </w:tcMar>
            <w:vAlign w:val="center"/>
          </w:tcPr>
          <w:p w14:paraId="761F05E4" w14:textId="77777777" w:rsidR="008D2B94" w:rsidRDefault="000E6516">
            <w:pPr>
              <w:jc w:val="center"/>
            </w:pPr>
            <w:r>
              <w:rPr>
                <w:b/>
                <w:bCs/>
                <w:color w:val="FFFFFF"/>
              </w:rPr>
              <w:t>5</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20" w:type="dxa"/>
            </w:tcMar>
          </w:tcPr>
          <w:p w14:paraId="761F05E5" w14:textId="77777777" w:rsidR="008D2B94" w:rsidRDefault="000E6516">
            <w:r>
              <w:rPr>
                <w:b/>
                <w:bCs/>
                <w:color w:val="063057"/>
                <w:sz w:val="20"/>
                <w:szCs w:val="20"/>
              </w:rPr>
              <w:t>Branch protection</w:t>
            </w:r>
          </w:p>
        </w:tc>
        <w:tc>
          <w:tcPr>
            <w:tcW w:w="6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20" w:type="dxa"/>
            </w:tcMar>
          </w:tcPr>
          <w:p w14:paraId="761F05E6" w14:textId="77777777" w:rsidR="008D2B94" w:rsidRDefault="000E6516">
            <w:r>
              <w:rPr>
                <w:color w:val="374151"/>
                <w:sz w:val="20"/>
                <w:szCs w:val="20"/>
              </w:rPr>
              <w:t>Apply branch protection rules to main: require pull request reviews before merge, disable force-push. This prevents accidental direct pushes to production.</w:t>
            </w:r>
          </w:p>
        </w:tc>
      </w:tr>
      <w:tr w:rsidR="008D2B94" w14:paraId="761F05EB" w14:textId="77777777">
        <w:tblPrEx>
          <w:tblCellMar>
            <w:top w:w="0" w:type="dxa"/>
            <w:bottom w:w="0" w:type="dxa"/>
          </w:tblCellMar>
        </w:tblPrEx>
        <w:trPr>
          <w:cantSplit/>
        </w:trPr>
        <w:tc>
          <w:tcPr>
            <w:tcW w:w="500" w:type="dxa"/>
            <w:tcBorders>
              <w:top w:val="single" w:sz="1" w:space="0" w:color="E5E7EB"/>
              <w:left w:val="single" w:sz="1" w:space="0" w:color="E5E7EB"/>
              <w:bottom w:val="single" w:sz="1" w:space="0" w:color="E5E7EB"/>
              <w:right w:val="single" w:sz="1" w:space="0" w:color="E5E7EB"/>
            </w:tcBorders>
            <w:shd w:val="clear" w:color="auto" w:fill="063057"/>
            <w:tcMar>
              <w:top w:w="80" w:type="dxa"/>
              <w:left w:w="120" w:type="dxa"/>
              <w:bottom w:w="80" w:type="dxa"/>
              <w:right w:w="120" w:type="dxa"/>
            </w:tcMar>
            <w:vAlign w:val="center"/>
          </w:tcPr>
          <w:p w14:paraId="761F05E8" w14:textId="77777777" w:rsidR="008D2B94" w:rsidRDefault="000E6516">
            <w:pPr>
              <w:jc w:val="center"/>
            </w:pPr>
            <w:r>
              <w:rPr>
                <w:b/>
                <w:bCs/>
                <w:color w:val="FFFFFF"/>
              </w:rPr>
              <w:t>6</w:t>
            </w:r>
          </w:p>
        </w:tc>
        <w:tc>
          <w:tcPr>
            <w:tcW w:w="26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60" w:type="dxa"/>
              <w:bottom w:w="80" w:type="dxa"/>
              <w:right w:w="120" w:type="dxa"/>
            </w:tcMar>
          </w:tcPr>
          <w:p w14:paraId="761F05E9" w14:textId="77777777" w:rsidR="008D2B94" w:rsidRDefault="000E6516">
            <w:r>
              <w:rPr>
                <w:b/>
                <w:bCs/>
                <w:color w:val="063057"/>
                <w:sz w:val="20"/>
                <w:szCs w:val="20"/>
              </w:rPr>
              <w:t>Team access</w:t>
            </w:r>
          </w:p>
        </w:tc>
        <w:tc>
          <w:tcPr>
            <w:tcW w:w="62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60" w:type="dxa"/>
              <w:bottom w:w="80" w:type="dxa"/>
              <w:right w:w="120" w:type="dxa"/>
            </w:tcMar>
          </w:tcPr>
          <w:p w14:paraId="761F05EA" w14:textId="77777777" w:rsidR="008D2B94" w:rsidRDefault="000E6516">
            <w:r>
              <w:rPr>
                <w:color w:val="374151"/>
                <w:sz w:val="20"/>
                <w:szCs w:val="20"/>
              </w:rPr>
              <w:t>Add relevant Simplifi dev team members with appropriate roles (Write or Maintain). Remove Jamie's personal admin access if the account will no longer manage the repo.</w:t>
            </w:r>
          </w:p>
        </w:tc>
      </w:tr>
      <w:tr w:rsidR="008D2B94" w14:paraId="761F05EF" w14:textId="77777777">
        <w:tblPrEx>
          <w:tblCellMar>
            <w:top w:w="0" w:type="dxa"/>
            <w:bottom w:w="0" w:type="dxa"/>
          </w:tblCellMar>
        </w:tblPrEx>
        <w:trPr>
          <w:cantSplit/>
        </w:trPr>
        <w:tc>
          <w:tcPr>
            <w:tcW w:w="500" w:type="dxa"/>
            <w:tcBorders>
              <w:top w:val="single" w:sz="1" w:space="0" w:color="E5E7EB"/>
              <w:left w:val="single" w:sz="1" w:space="0" w:color="E5E7EB"/>
              <w:bottom w:val="single" w:sz="1" w:space="0" w:color="E5E7EB"/>
              <w:right w:val="single" w:sz="1" w:space="0" w:color="E5E7EB"/>
            </w:tcBorders>
            <w:shd w:val="clear" w:color="auto" w:fill="063057"/>
            <w:tcMar>
              <w:top w:w="80" w:type="dxa"/>
              <w:left w:w="120" w:type="dxa"/>
              <w:bottom w:w="80" w:type="dxa"/>
              <w:right w:w="120" w:type="dxa"/>
            </w:tcMar>
            <w:vAlign w:val="center"/>
          </w:tcPr>
          <w:p w14:paraId="761F05EC" w14:textId="77777777" w:rsidR="008D2B94" w:rsidRDefault="000E6516">
            <w:pPr>
              <w:jc w:val="center"/>
            </w:pPr>
            <w:r>
              <w:rPr>
                <w:b/>
                <w:bCs/>
                <w:color w:val="FFFFFF"/>
              </w:rPr>
              <w:t>7</w:t>
            </w:r>
          </w:p>
        </w:tc>
        <w:tc>
          <w:tcPr>
            <w:tcW w:w="26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20" w:type="dxa"/>
            </w:tcMar>
          </w:tcPr>
          <w:p w14:paraId="761F05ED" w14:textId="77777777" w:rsidR="008D2B94" w:rsidRDefault="000E6516">
            <w:r>
              <w:rPr>
                <w:b/>
                <w:bCs/>
                <w:color w:val="063057"/>
                <w:sz w:val="20"/>
                <w:szCs w:val="20"/>
              </w:rPr>
              <w:t>Custom domain (optional)</w:t>
            </w:r>
          </w:p>
        </w:tc>
        <w:tc>
          <w:tcPr>
            <w:tcW w:w="62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60" w:type="dxa"/>
              <w:bottom w:w="80" w:type="dxa"/>
              <w:right w:w="120" w:type="dxa"/>
            </w:tcMar>
          </w:tcPr>
          <w:p w14:paraId="761F05EE" w14:textId="77777777" w:rsidR="008D2B94" w:rsidRDefault="000E6516">
            <w:r>
              <w:rPr>
                <w:color w:val="374151"/>
                <w:sz w:val="20"/>
                <w:szCs w:val="20"/>
              </w:rPr>
              <w:t>To use a branded URL (e.g. tools.simplifi.work/leave-converter), add a CNAME file to the repo and configure the DNS record to point to github.io per GitHub Pages documentation.</w:t>
            </w:r>
          </w:p>
        </w:tc>
      </w:tr>
      <w:tr w:rsidR="008D2B94" w14:paraId="761F05F3" w14:textId="77777777">
        <w:tblPrEx>
          <w:tblCellMar>
            <w:top w:w="0" w:type="dxa"/>
            <w:bottom w:w="0" w:type="dxa"/>
          </w:tblCellMar>
        </w:tblPrEx>
        <w:trPr>
          <w:cantSplit/>
        </w:trPr>
        <w:tc>
          <w:tcPr>
            <w:tcW w:w="500" w:type="dxa"/>
            <w:tcBorders>
              <w:top w:val="single" w:sz="1" w:space="0" w:color="E5E7EB"/>
              <w:left w:val="single" w:sz="1" w:space="0" w:color="E5E7EB"/>
              <w:bottom w:val="single" w:sz="1" w:space="0" w:color="E5E7EB"/>
              <w:right w:val="single" w:sz="1" w:space="0" w:color="E5E7EB"/>
            </w:tcBorders>
            <w:shd w:val="clear" w:color="auto" w:fill="063057"/>
            <w:tcMar>
              <w:top w:w="80" w:type="dxa"/>
              <w:left w:w="120" w:type="dxa"/>
              <w:bottom w:w="80" w:type="dxa"/>
              <w:right w:w="120" w:type="dxa"/>
            </w:tcMar>
            <w:vAlign w:val="center"/>
          </w:tcPr>
          <w:p w14:paraId="761F05F0" w14:textId="77777777" w:rsidR="008D2B94" w:rsidRDefault="000E6516">
            <w:pPr>
              <w:jc w:val="center"/>
            </w:pPr>
            <w:r>
              <w:rPr>
                <w:b/>
                <w:bCs/>
                <w:color w:val="FFFFFF"/>
              </w:rPr>
              <w:t>8</w:t>
            </w:r>
          </w:p>
        </w:tc>
        <w:tc>
          <w:tcPr>
            <w:tcW w:w="26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60" w:type="dxa"/>
              <w:bottom w:w="80" w:type="dxa"/>
              <w:right w:w="120" w:type="dxa"/>
            </w:tcMar>
          </w:tcPr>
          <w:p w14:paraId="761F05F1" w14:textId="77777777" w:rsidR="008D2B94" w:rsidRDefault="000E6516">
            <w:r>
              <w:rPr>
                <w:b/>
                <w:bCs/>
                <w:color w:val="063057"/>
                <w:sz w:val="20"/>
                <w:szCs w:val="20"/>
              </w:rPr>
              <w:t>Verify &amp; smoke test</w:t>
            </w:r>
          </w:p>
        </w:tc>
        <w:tc>
          <w:tcPr>
            <w:tcW w:w="62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60" w:type="dxa"/>
              <w:bottom w:w="80" w:type="dxa"/>
              <w:right w:w="120" w:type="dxa"/>
            </w:tcMar>
          </w:tcPr>
          <w:p w14:paraId="761F05F2" w14:textId="77777777" w:rsidR="008D2B94" w:rsidRDefault="000E6516">
            <w:r>
              <w:rPr>
                <w:color w:val="374151"/>
                <w:sz w:val="20"/>
                <w:szCs w:val="20"/>
              </w:rPr>
              <w:t>After migration, load the new URL, upload a sample Smartly and IMS/MYOB CSV, and confirm the download output is correct. Check browser console for any errors.</w:t>
            </w:r>
          </w:p>
        </w:tc>
      </w:tr>
    </w:tbl>
    <w:p w14:paraId="761F05F4" w14:textId="77777777" w:rsidR="008D2B94" w:rsidRDefault="008D2B94">
      <w:pPr>
        <w:spacing w:after="80"/>
      </w:pPr>
    </w:p>
    <w:p w14:paraId="1A7E9404" w14:textId="77777777" w:rsidR="00401FEF" w:rsidRDefault="00401F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B94" w14:paraId="761F05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3057"/>
            <w:tcMar>
              <w:top w:w="120" w:type="dxa"/>
              <w:left w:w="200" w:type="dxa"/>
              <w:bottom w:w="120" w:type="dxa"/>
              <w:right w:w="200" w:type="dxa"/>
            </w:tcMar>
          </w:tcPr>
          <w:p w14:paraId="761F05F5" w14:textId="77777777" w:rsidR="008D2B94" w:rsidRDefault="000E6516">
            <w:r>
              <w:rPr>
                <w:b/>
                <w:bCs/>
                <w:color w:val="FFFFFF"/>
                <w:sz w:val="26"/>
                <w:szCs w:val="26"/>
              </w:rPr>
              <w:t>7.  Risks &amp; Mitigations</w:t>
            </w:r>
          </w:p>
        </w:tc>
      </w:tr>
    </w:tbl>
    <w:p w14:paraId="761F05F7" w14:textId="77777777" w:rsidR="008D2B94" w:rsidRDefault="008D2B94">
      <w:pPr>
        <w:spacing w:after="100"/>
      </w:pPr>
    </w:p>
    <w:p w14:paraId="761F05F8" w14:textId="77777777" w:rsidR="008D2B94" w:rsidRDefault="000E6516">
      <w:pPr>
        <w:spacing w:after="160"/>
      </w:pPr>
      <w:r>
        <w:rPr>
          <w:color w:val="374151"/>
        </w:rPr>
        <w:t>The following risks have been identified across hosting, security, and ongoing maintenance. Each is rated by likelihood and impact.</w:t>
      </w:r>
    </w:p>
    <w:p w14:paraId="761F05F9" w14:textId="77777777" w:rsidR="008D2B94" w:rsidRDefault="008D2B9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9"/>
        <w:gridCol w:w="1190"/>
        <w:gridCol w:w="946"/>
        <w:gridCol w:w="4595"/>
      </w:tblGrid>
      <w:tr w:rsidR="008D2B94" w14:paraId="761F05FE" w14:textId="77777777">
        <w:tblPrEx>
          <w:tblCellMar>
            <w:top w:w="0" w:type="dxa"/>
            <w:bottom w:w="0" w:type="dxa"/>
          </w:tblCellMar>
        </w:tblPrEx>
        <w:trPr>
          <w:tblHeader/>
        </w:trPr>
        <w:tc>
          <w:tcPr>
            <w:tcW w:w="2500" w:type="dxa"/>
            <w:tcBorders>
              <w:top w:val="single" w:sz="1" w:space="0" w:color="063057"/>
              <w:left w:val="single" w:sz="1" w:space="0" w:color="063057"/>
              <w:bottom w:val="single" w:sz="1" w:space="0" w:color="063057"/>
              <w:right w:val="single" w:sz="1" w:space="0" w:color="063057"/>
            </w:tcBorders>
            <w:shd w:val="clear" w:color="auto" w:fill="063057"/>
            <w:tcMar>
              <w:top w:w="80" w:type="dxa"/>
              <w:left w:w="120" w:type="dxa"/>
              <w:bottom w:w="80" w:type="dxa"/>
              <w:right w:w="120" w:type="dxa"/>
            </w:tcMar>
          </w:tcPr>
          <w:p w14:paraId="761F05FA" w14:textId="77777777" w:rsidR="008D2B94" w:rsidRDefault="000E6516">
            <w:r>
              <w:rPr>
                <w:b/>
                <w:bCs/>
                <w:color w:val="FFFFFF"/>
                <w:sz w:val="20"/>
                <w:szCs w:val="20"/>
              </w:rPr>
              <w:lastRenderedPageBreak/>
              <w:t>Risk</w:t>
            </w:r>
          </w:p>
        </w:tc>
        <w:tc>
          <w:tcPr>
            <w:tcW w:w="1100" w:type="dxa"/>
            <w:tcBorders>
              <w:top w:val="single" w:sz="1" w:space="0" w:color="063057"/>
              <w:left w:val="single" w:sz="1" w:space="0" w:color="063057"/>
              <w:bottom w:val="single" w:sz="1" w:space="0" w:color="063057"/>
              <w:right w:val="single" w:sz="1" w:space="0" w:color="063057"/>
            </w:tcBorders>
            <w:shd w:val="clear" w:color="auto" w:fill="063057"/>
            <w:tcMar>
              <w:top w:w="80" w:type="dxa"/>
              <w:left w:w="120" w:type="dxa"/>
              <w:bottom w:w="80" w:type="dxa"/>
              <w:right w:w="120" w:type="dxa"/>
            </w:tcMar>
          </w:tcPr>
          <w:p w14:paraId="761F05FB" w14:textId="77777777" w:rsidR="008D2B94" w:rsidRDefault="000E6516">
            <w:r>
              <w:rPr>
                <w:b/>
                <w:bCs/>
                <w:color w:val="FFFFFF"/>
                <w:sz w:val="20"/>
                <w:szCs w:val="20"/>
              </w:rPr>
              <w:t>Likelihood</w:t>
            </w:r>
          </w:p>
        </w:tc>
        <w:tc>
          <w:tcPr>
            <w:tcW w:w="800" w:type="dxa"/>
            <w:tcBorders>
              <w:top w:val="single" w:sz="1" w:space="0" w:color="063057"/>
              <w:left w:val="single" w:sz="1" w:space="0" w:color="063057"/>
              <w:bottom w:val="single" w:sz="1" w:space="0" w:color="063057"/>
              <w:right w:val="single" w:sz="1" w:space="0" w:color="063057"/>
            </w:tcBorders>
            <w:shd w:val="clear" w:color="auto" w:fill="063057"/>
            <w:tcMar>
              <w:top w:w="80" w:type="dxa"/>
              <w:left w:w="120" w:type="dxa"/>
              <w:bottom w:w="80" w:type="dxa"/>
              <w:right w:w="120" w:type="dxa"/>
            </w:tcMar>
          </w:tcPr>
          <w:p w14:paraId="761F05FC" w14:textId="77777777" w:rsidR="008D2B94" w:rsidRDefault="000E6516">
            <w:r>
              <w:rPr>
                <w:b/>
                <w:bCs/>
                <w:color w:val="FFFFFF"/>
                <w:sz w:val="20"/>
                <w:szCs w:val="20"/>
              </w:rPr>
              <w:t>Impact</w:t>
            </w:r>
          </w:p>
        </w:tc>
        <w:tc>
          <w:tcPr>
            <w:tcW w:w="4960" w:type="dxa"/>
            <w:tcBorders>
              <w:top w:val="single" w:sz="1" w:space="0" w:color="063057"/>
              <w:left w:val="single" w:sz="1" w:space="0" w:color="063057"/>
              <w:bottom w:val="single" w:sz="1" w:space="0" w:color="063057"/>
              <w:right w:val="single" w:sz="1" w:space="0" w:color="063057"/>
            </w:tcBorders>
            <w:shd w:val="clear" w:color="auto" w:fill="063057"/>
            <w:tcMar>
              <w:top w:w="80" w:type="dxa"/>
              <w:left w:w="120" w:type="dxa"/>
              <w:bottom w:w="80" w:type="dxa"/>
              <w:right w:w="120" w:type="dxa"/>
            </w:tcMar>
          </w:tcPr>
          <w:p w14:paraId="761F05FD" w14:textId="77777777" w:rsidR="008D2B94" w:rsidRDefault="000E6516">
            <w:r>
              <w:rPr>
                <w:b/>
                <w:bCs/>
                <w:color w:val="FFFFFF"/>
                <w:sz w:val="20"/>
                <w:szCs w:val="20"/>
              </w:rPr>
              <w:t>Mitigation</w:t>
            </w:r>
          </w:p>
        </w:tc>
      </w:tr>
      <w:tr w:rsidR="008D2B94" w14:paraId="761F0603"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5FF" w14:textId="77777777" w:rsidR="008D2B94" w:rsidRDefault="000E6516">
            <w:r>
              <w:rPr>
                <w:b/>
                <w:bCs/>
                <w:color w:val="063057"/>
                <w:sz w:val="20"/>
                <w:szCs w:val="20"/>
              </w:rPr>
              <w:t>GitHub Pages outage</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600" w14:textId="77777777" w:rsidR="008D2B94" w:rsidRDefault="000E6516">
            <w:r>
              <w:rPr>
                <w:color w:val="374151"/>
                <w:sz w:val="20"/>
                <w:szCs w:val="20"/>
              </w:rPr>
              <w:t>Low</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601" w14:textId="77777777" w:rsidR="008D2B94" w:rsidRDefault="000E6516">
            <w:r>
              <w:rPr>
                <w:color w:val="374151"/>
                <w:sz w:val="20"/>
                <w:szCs w:val="20"/>
              </w:rPr>
              <w:t>Medium</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602" w14:textId="77777777" w:rsidR="008D2B94" w:rsidRDefault="000E6516">
            <w:r>
              <w:rPr>
                <w:color w:val="374151"/>
                <w:sz w:val="20"/>
                <w:szCs w:val="20"/>
              </w:rPr>
              <w:t>GitHub Pages has a strong uptime record. If availability is a concern, the single index.html file can be mirrored to any static host (Netlify, Cloudflare Pages, Azure Static Web Apps) with minimal effort.</w:t>
            </w:r>
          </w:p>
        </w:tc>
      </w:tr>
      <w:tr w:rsidR="008D2B94" w14:paraId="761F0608"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04" w14:textId="77777777" w:rsidR="008D2B94" w:rsidRDefault="000E6516">
            <w:r>
              <w:rPr>
                <w:b/>
                <w:bCs/>
                <w:color w:val="063057"/>
                <w:sz w:val="20"/>
                <w:szCs w:val="20"/>
              </w:rPr>
              <w:t>Personal account access lost</w:t>
            </w:r>
          </w:p>
        </w:tc>
        <w:tc>
          <w:tcPr>
            <w:tcW w:w="9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05" w14:textId="77777777" w:rsidR="008D2B94" w:rsidRDefault="000E6516">
            <w:r>
              <w:rPr>
                <w:color w:val="374151"/>
                <w:sz w:val="20"/>
                <w:szCs w:val="20"/>
              </w:rPr>
              <w:t>Low</w:t>
            </w:r>
          </w:p>
        </w:tc>
        <w:tc>
          <w:tcPr>
            <w:tcW w:w="9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06" w14:textId="77777777" w:rsidR="008D2B94" w:rsidRDefault="000E6516">
            <w:r>
              <w:rPr>
                <w:color w:val="374151"/>
                <w:sz w:val="20"/>
                <w:szCs w:val="20"/>
              </w:rPr>
              <w:t>High</w:t>
            </w:r>
          </w:p>
        </w:tc>
        <w:tc>
          <w:tcPr>
            <w:tcW w:w="47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07" w14:textId="77777777" w:rsidR="008D2B94" w:rsidRDefault="000E6516">
            <w:r>
              <w:rPr>
                <w:color w:val="374151"/>
                <w:sz w:val="20"/>
                <w:szCs w:val="20"/>
              </w:rPr>
              <w:t>The repository sits under a personal GitHub account. If access is lost before migration, the codebase must be re-created from a local copy. Mitigate by completing the migration to the Simplifi org promptly and keeping a local backup of index.html.</w:t>
            </w:r>
          </w:p>
        </w:tc>
      </w:tr>
      <w:tr w:rsidR="008D2B94" w14:paraId="761F060D"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609" w14:textId="77777777" w:rsidR="008D2B94" w:rsidRDefault="000E6516">
            <w:r>
              <w:rPr>
                <w:b/>
                <w:bCs/>
                <w:color w:val="063057"/>
                <w:sz w:val="20"/>
                <w:szCs w:val="20"/>
              </w:rPr>
              <w:t>No uptime SLA</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60A" w14:textId="77777777" w:rsidR="008D2B94" w:rsidRDefault="000E6516">
            <w:r>
              <w:rPr>
                <w:color w:val="374151"/>
                <w:sz w:val="20"/>
                <w:szCs w:val="20"/>
              </w:rPr>
              <w:t>Medium</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60B" w14:textId="77777777" w:rsidR="008D2B94" w:rsidRDefault="000E6516">
            <w:r>
              <w:rPr>
                <w:color w:val="374151"/>
                <w:sz w:val="20"/>
                <w:szCs w:val="20"/>
              </w:rPr>
              <w:t>Low</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60C" w14:textId="77777777" w:rsidR="008D2B94" w:rsidRDefault="000E6516">
            <w:r>
              <w:rPr>
                <w:color w:val="374151"/>
                <w:sz w:val="20"/>
                <w:szCs w:val="20"/>
              </w:rPr>
              <w:t>GitHub Pages does not offer an SLA. For an internal-use tool this is acceptable. If an SLA becomes a requirement, move hosting to a managed platform such as Azure Static Web Apps.</w:t>
            </w:r>
          </w:p>
        </w:tc>
      </w:tr>
      <w:tr w:rsidR="008D2B94" w14:paraId="761F0612"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0E" w14:textId="77777777" w:rsidR="008D2B94" w:rsidRDefault="000E6516">
            <w:r>
              <w:rPr>
                <w:b/>
                <w:bCs/>
                <w:color w:val="063057"/>
                <w:sz w:val="20"/>
                <w:szCs w:val="20"/>
              </w:rPr>
              <w:t>Tool URL changes post-migration</w:t>
            </w:r>
          </w:p>
        </w:tc>
        <w:tc>
          <w:tcPr>
            <w:tcW w:w="9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0F" w14:textId="77777777" w:rsidR="008D2B94" w:rsidRDefault="000E6516">
            <w:r>
              <w:rPr>
                <w:color w:val="374151"/>
                <w:sz w:val="20"/>
                <w:szCs w:val="20"/>
              </w:rPr>
              <w:t>High</w:t>
            </w:r>
          </w:p>
        </w:tc>
        <w:tc>
          <w:tcPr>
            <w:tcW w:w="9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10" w14:textId="77777777" w:rsidR="008D2B94" w:rsidRDefault="000E6516">
            <w:r>
              <w:rPr>
                <w:color w:val="374151"/>
                <w:sz w:val="20"/>
                <w:szCs w:val="20"/>
              </w:rPr>
              <w:t>Medium</w:t>
            </w:r>
          </w:p>
        </w:tc>
        <w:tc>
          <w:tcPr>
            <w:tcW w:w="47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11" w14:textId="77777777" w:rsidR="008D2B94" w:rsidRDefault="000E6516">
            <w:r>
              <w:rPr>
                <w:color w:val="374151"/>
                <w:sz w:val="20"/>
                <w:szCs w:val="20"/>
              </w:rPr>
              <w:t>After migrating to the Simplifi org the GitHub Pages URL will change, breaking any existing bookmarks or documentation links. Communicate the new URL to all users before cutover and update all internal documentation.</w:t>
            </w:r>
          </w:p>
        </w:tc>
      </w:tr>
      <w:tr w:rsidR="008D2B94" w14:paraId="761F0617"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613" w14:textId="77777777" w:rsidR="008D2B94" w:rsidRDefault="000E6516">
            <w:r>
              <w:rPr>
                <w:b/>
                <w:bCs/>
                <w:color w:val="063057"/>
                <w:sz w:val="20"/>
                <w:szCs w:val="20"/>
              </w:rPr>
              <w:t>Scope creep into PII handling</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614" w14:textId="77777777" w:rsidR="008D2B94" w:rsidRDefault="000E6516">
            <w:r>
              <w:rPr>
                <w:color w:val="374151"/>
                <w:sz w:val="20"/>
                <w:szCs w:val="20"/>
              </w:rPr>
              <w:t>Low</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615" w14:textId="77777777" w:rsidR="008D2B94" w:rsidRDefault="000E6516">
            <w:r>
              <w:rPr>
                <w:color w:val="374151"/>
                <w:sz w:val="20"/>
                <w:szCs w:val="20"/>
              </w:rPr>
              <w:t>High</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616" w14:textId="77777777" w:rsidR="008D2B94" w:rsidRDefault="000E6516">
            <w:r>
              <w:rPr>
                <w:color w:val="374151"/>
                <w:sz w:val="20"/>
                <w:szCs w:val="20"/>
              </w:rPr>
              <w:t>The current tool handles only leave balance figures. If future requirements add employee names or IDs to the output, a privacy review is required before release to ensure the no-PII guarantee remains valid.</w:t>
            </w:r>
          </w:p>
        </w:tc>
      </w:tr>
      <w:tr w:rsidR="008D2B94" w14:paraId="761F061C"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18" w14:textId="77777777" w:rsidR="008D2B94" w:rsidRDefault="000E6516">
            <w:r>
              <w:rPr>
                <w:b/>
                <w:bCs/>
                <w:color w:val="063057"/>
                <w:sz w:val="20"/>
                <w:szCs w:val="20"/>
              </w:rPr>
              <w:t>No dedicated maintainer post-handover</w:t>
            </w:r>
          </w:p>
        </w:tc>
        <w:tc>
          <w:tcPr>
            <w:tcW w:w="9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19" w14:textId="77777777" w:rsidR="008D2B94" w:rsidRDefault="000E6516">
            <w:r>
              <w:rPr>
                <w:color w:val="374151"/>
                <w:sz w:val="20"/>
                <w:szCs w:val="20"/>
              </w:rPr>
              <w:t>Medium</w:t>
            </w:r>
          </w:p>
        </w:tc>
        <w:tc>
          <w:tcPr>
            <w:tcW w:w="9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1A" w14:textId="77777777" w:rsidR="008D2B94" w:rsidRDefault="000E6516">
            <w:r>
              <w:rPr>
                <w:color w:val="374151"/>
                <w:sz w:val="20"/>
                <w:szCs w:val="20"/>
              </w:rPr>
              <w:t>Medium</w:t>
            </w:r>
          </w:p>
        </w:tc>
        <w:tc>
          <w:tcPr>
            <w:tcW w:w="47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1B" w14:textId="77777777" w:rsidR="008D2B94" w:rsidRDefault="000E6516">
            <w:r>
              <w:rPr>
                <w:color w:val="374151"/>
                <w:sz w:val="20"/>
                <w:szCs w:val="20"/>
              </w:rPr>
              <w:t>If the dev team does not assign an owner, bug reports or provider format changes (e.g., Smartly updates their CSV export) will go unaddressed. Assign a named maintainer and add the repo to standard team monitoring.</w:t>
            </w:r>
          </w:p>
        </w:tc>
      </w:tr>
      <w:tr w:rsidR="008D2B94" w14:paraId="761F0621"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61D" w14:textId="77777777" w:rsidR="008D2B94" w:rsidRDefault="000E6516">
            <w:r>
              <w:rPr>
                <w:b/>
                <w:bCs/>
                <w:color w:val="063057"/>
                <w:sz w:val="20"/>
                <w:szCs w:val="20"/>
              </w:rPr>
              <w:t>Publicly accessible URL</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61E" w14:textId="77777777" w:rsidR="008D2B94" w:rsidRDefault="000E6516">
            <w:r>
              <w:rPr>
                <w:color w:val="374151"/>
                <w:sz w:val="20"/>
                <w:szCs w:val="20"/>
              </w:rPr>
              <w:t>Medium</w:t>
            </w:r>
          </w:p>
        </w:tc>
        <w:tc>
          <w:tcPr>
            <w:tcW w:w="9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61F" w14:textId="77777777" w:rsidR="008D2B94" w:rsidRDefault="000E6516">
            <w:r>
              <w:rPr>
                <w:color w:val="374151"/>
                <w:sz w:val="20"/>
                <w:szCs w:val="20"/>
              </w:rPr>
              <w:t>Low</w:t>
            </w:r>
          </w:p>
        </w:tc>
        <w:tc>
          <w:tcPr>
            <w:tcW w:w="47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620" w14:textId="77777777" w:rsidR="008D2B94" w:rsidRDefault="000E6516">
            <w:r>
              <w:rPr>
                <w:color w:val="374151"/>
                <w:sz w:val="20"/>
                <w:szCs w:val="20"/>
              </w:rPr>
              <w:t>The tool is accessible to anyone with the link. No sensitive data is processed, so this is low risk. If policy requires restricted access, Cloudflare Access or a GitHub org-only Pages restriction can be applied without code changes.</w:t>
            </w:r>
          </w:p>
        </w:tc>
      </w:tr>
      <w:tr w:rsidR="008D2B94" w14:paraId="761F0626"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22" w14:textId="77777777" w:rsidR="008D2B94" w:rsidRDefault="000E6516">
            <w:r>
              <w:rPr>
                <w:b/>
                <w:bCs/>
                <w:color w:val="063057"/>
                <w:sz w:val="20"/>
                <w:szCs w:val="20"/>
              </w:rPr>
              <w:t>No automated tests</w:t>
            </w:r>
          </w:p>
        </w:tc>
        <w:tc>
          <w:tcPr>
            <w:tcW w:w="9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23" w14:textId="77777777" w:rsidR="008D2B94" w:rsidRDefault="000E6516">
            <w:r>
              <w:rPr>
                <w:color w:val="374151"/>
                <w:sz w:val="20"/>
                <w:szCs w:val="20"/>
              </w:rPr>
              <w:t>Medium</w:t>
            </w:r>
          </w:p>
        </w:tc>
        <w:tc>
          <w:tcPr>
            <w:tcW w:w="9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24" w14:textId="77777777" w:rsidR="008D2B94" w:rsidRDefault="000E6516">
            <w:r>
              <w:rPr>
                <w:color w:val="374151"/>
                <w:sz w:val="20"/>
                <w:szCs w:val="20"/>
              </w:rPr>
              <w:t>Medium</w:t>
            </w:r>
          </w:p>
        </w:tc>
        <w:tc>
          <w:tcPr>
            <w:tcW w:w="47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25" w14:textId="77777777" w:rsidR="008D2B94" w:rsidRDefault="000E6516">
            <w:r>
              <w:rPr>
                <w:color w:val="374151"/>
                <w:sz w:val="20"/>
                <w:szCs w:val="20"/>
              </w:rPr>
              <w:t>There are no unit or integration tests. A provider format change could silently break conversions. Add a GitHub Actions workflow that runs sample CSV conversions and validates the output on every pull request.</w:t>
            </w:r>
          </w:p>
        </w:tc>
      </w:tr>
    </w:tbl>
    <w:p w14:paraId="761F0627" w14:textId="77777777" w:rsidR="008D2B94" w:rsidRDefault="008D2B94">
      <w:pPr>
        <w:spacing w:after="80"/>
      </w:pPr>
    </w:p>
    <w:p w14:paraId="53E8C4A7" w14:textId="77777777" w:rsidR="00577020" w:rsidRDefault="00577020">
      <w:pPr>
        <w:spacing w:after="80"/>
      </w:pPr>
    </w:p>
    <w:p w14:paraId="106450B3" w14:textId="77777777" w:rsidR="00577020" w:rsidRDefault="00577020">
      <w:pPr>
        <w:spacing w:after="80"/>
      </w:pPr>
    </w:p>
    <w:p w14:paraId="759434A0" w14:textId="77777777" w:rsidR="00577020" w:rsidRDefault="0057702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B94" w14:paraId="761F06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3057"/>
            <w:tcMar>
              <w:top w:w="120" w:type="dxa"/>
              <w:left w:w="200" w:type="dxa"/>
              <w:bottom w:w="120" w:type="dxa"/>
              <w:right w:w="200" w:type="dxa"/>
            </w:tcMar>
          </w:tcPr>
          <w:p w14:paraId="761F0628" w14:textId="77777777" w:rsidR="008D2B94" w:rsidRDefault="000E6516">
            <w:r>
              <w:rPr>
                <w:b/>
                <w:bCs/>
                <w:color w:val="FFFFFF"/>
                <w:sz w:val="26"/>
                <w:szCs w:val="26"/>
              </w:rPr>
              <w:lastRenderedPageBreak/>
              <w:t>8.  Future Considerations</w:t>
            </w:r>
          </w:p>
        </w:tc>
      </w:tr>
    </w:tbl>
    <w:p w14:paraId="761F062A" w14:textId="77777777" w:rsidR="008D2B94" w:rsidRDefault="008D2B94">
      <w:pPr>
        <w:spacing w:after="100"/>
      </w:pPr>
    </w:p>
    <w:p w14:paraId="761F062B" w14:textId="77777777" w:rsidR="008D2B94" w:rsidRDefault="000E6516">
      <w:pPr>
        <w:spacing w:after="160"/>
      </w:pPr>
      <w:r>
        <w:rPr>
          <w:color w:val="374151"/>
        </w:rPr>
        <w:t>The following enhancements are suggested as the tool matures and API availability changes:</w:t>
      </w:r>
    </w:p>
    <w:p w14:paraId="761F062C" w14:textId="77777777" w:rsidR="008D2B94" w:rsidRDefault="008D2B94">
      <w:pPr>
        <w:spacing w:after="60"/>
      </w:pPr>
    </w:p>
    <w:p w14:paraId="761F062D" w14:textId="3D564A00" w:rsidR="008D2B94" w:rsidRDefault="00577020">
      <w:pPr>
        <w:pStyle w:val="ListParagraph"/>
        <w:numPr>
          <w:ilvl w:val="0"/>
          <w:numId w:val="2"/>
        </w:numPr>
        <w:spacing w:after="100"/>
      </w:pPr>
      <w:r>
        <w:rPr>
          <w:color w:val="374151"/>
        </w:rPr>
        <w:t xml:space="preserve">Other payroll support — there is a placeholder provider slot already stubbed in the code; only the detect/parse/convert functions need to be implemented once a sample export is available.</w:t>
      </w:r>
    </w:p>
    <w:p w14:paraId="761F062E" w14:textId="77777777" w:rsidR="008D2B94" w:rsidRDefault="000E6516">
      <w:pPr>
        <w:pStyle w:val="ListParagraph"/>
        <w:numPr>
          <w:ilvl w:val="0"/>
          <w:numId w:val="2"/>
        </w:numPr>
        <w:spacing w:after="100"/>
      </w:pPr>
      <w:r>
        <w:rPr>
          <w:color w:val="374151"/>
        </w:rPr>
        <w:t>Direct API integration — if Smartly or IMS/MYOB release API access to leave balance data in the future, the transformation logic in this tool can be reused server-side to enable a true one-click sync.</w:t>
      </w:r>
    </w:p>
    <w:p w14:paraId="761F062F" w14:textId="77777777" w:rsidR="008D2B94" w:rsidRDefault="000E6516">
      <w:pPr>
        <w:pStyle w:val="ListParagraph"/>
        <w:numPr>
          <w:ilvl w:val="0"/>
          <w:numId w:val="2"/>
        </w:numPr>
        <w:spacing w:after="100"/>
      </w:pPr>
      <w:r>
        <w:rPr>
          <w:color w:val="374151"/>
        </w:rPr>
        <w:t>CI/CD pipeline — a simple GitHub Actions workflow can lint, validate, and optionally run smoke tests on pull requests before merge.</w:t>
      </w:r>
    </w:p>
    <w:p w14:paraId="761F0630" w14:textId="77777777" w:rsidR="008D2B94" w:rsidRDefault="000E6516">
      <w:pPr>
        <w:pStyle w:val="ListParagraph"/>
        <w:numPr>
          <w:ilvl w:val="0"/>
          <w:numId w:val="2"/>
        </w:numPr>
        <w:spacing w:after="100"/>
      </w:pPr>
      <w:r>
        <w:rPr>
          <w:color w:val="374151"/>
        </w:rPr>
        <w:t>Version pinning — embedding a version number in the UI footer (e.g., v1.2.0) will help support staff identify which version a client is running when troubleshooting.</w:t>
      </w:r>
    </w:p>
    <w:p w14:paraId="761F0631" w14:textId="77777777" w:rsidR="008D2B94" w:rsidRDefault="000E6516">
      <w:pPr>
        <w:pStyle w:val="ListParagraph"/>
        <w:numPr>
          <w:ilvl w:val="0"/>
          <w:numId w:val="2"/>
        </w:numPr>
        <w:spacing w:after="100"/>
      </w:pPr>
      <w:r>
        <w:rPr>
          <w:color w:val="374151"/>
        </w:rPr>
        <w:t>Access control — if the tool needs to be restricted to Simplifi clients only, authentication can be added at the CDN/hosting layer (e.g., Cloudflare Access) without changing any application code.</w:t>
      </w:r>
    </w:p>
    <w:p w14:paraId="761F0632" w14:textId="77777777" w:rsidR="008D2B94" w:rsidRDefault="008D2B94">
      <w:pPr>
        <w:spacing w:after="200"/>
      </w:pPr>
    </w:p>
    <w:p>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B9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3057"/>
            <w:tcMar>
              <w:top w:w="120" w:type="dxa"/>
              <w:left w:w="200" w:type="dxa"/>
              <w:bottom w:w="120" w:type="dxa"/>
              <w:right w:w="200" w:type="dxa"/>
            </w:tcMar>
          </w:tcPr>
          <w:p w:rsidR="008D2B94" w:rsidRDefault="000E6516">
            <w:r>
              <w:rPr>
                <w:b/>
                <w:bCs/>
                <w:color w:val="FFFFFF"/>
                <w:sz w:val="26"/>
                <w:szCs w:val="26"/>
              </w:rPr>
              <w:t>9.  Change Log</w:t>
            </w:r>
          </w:p>
        </w:tc>
      </w:tr>
    </w:tbl>
    <w:p>
      <w:pPr>
        <w:spacing w:after="100"/>
      </w:pPr>
    </w:p>
    <w:p>
      <w:pPr>
        <w:spacing w:after="160"/>
      </w:pPr>
      <w:r>
        <w:rPr>
          <w:color w:val="374151"/>
        </w:rPr>
        <w:t xml:space="preserve">Changes made to the converter since this document was first prepared, newest first. Add a new entry for each release.</w:t>
      </w:r>
    </w:p>
    <w:p>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b/>
                <w:bCs/>
                <w:color w:val="063057"/>
                <w:sz w:val="20"/>
                <w:szCs w:val="20"/>
              </w:rPr>
              <w:t xml:space="preserve">Date</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
              <w:rPr>
                <w:color w:val="374151"/>
                <w:sz w:val="20"/>
                <w:szCs w:val="20"/>
              </w:rPr>
              <w:t xml:space="preserve">2 October 2026</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b/>
                <w:bCs/>
                <w:color w:val="063057"/>
                <w:sz w:val="20"/>
                <w:szCs w:val="20"/>
              </w:rPr>
              <w:t xml:space="preserve">Provider</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
              <w:rPr>
                <w:color w:val="374151"/>
                <w:sz w:val="20"/>
                <w:szCs w:val="20"/>
              </w:rPr>
              <w:t xml:space="preserve">IMS/MYOB</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b/>
                <w:bCs/>
                <w:color w:val="063057"/>
                <w:sz w:val="20"/>
                <w:szCs w:val="20"/>
              </w:rPr>
              <w:t xml:space="preserve">Change</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
              <w:rPr>
                <w:color w:val="374151"/>
                <w:sz w:val="20"/>
                <w:szCs w:val="20"/>
              </w:rPr>
              <w:t xml:space="preserve">Added support for a second IMS/MYOB export format, the "Total Leave" report (e.g. Total_Leave_2026_09_27.csv).</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b/>
                <w:bCs/>
                <w:color w:val="063057"/>
                <w:sz w:val="20"/>
                <w:szCs w:val="20"/>
              </w:rPr>
              <w:t xml:space="preserve">Reason</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
              <w:rPr>
                <w:color w:val="374151"/>
                <w:sz w:val="20"/>
                <w:szCs w:val="20"/>
              </w:rPr>
              <w:t xml:space="preserve">The Total Leave file was not recognised as IMS. It fell through to the Smartly parser, so the converted output was unusable.</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b/>
                <w:bCs/>
                <w:color w:val="063057"/>
                <w:sz w:val="20"/>
                <w:szCs w:val="20"/>
              </w:rPr>
              <w:t xml:space="preserve">Conversion logic</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
              <w:rPr>
                <w:color w:val="374151"/>
                <w:sz w:val="20"/>
                <w:szCs w:val="20"/>
              </w:rPr>
              <w:t xml:space="preserve">New provider "ims-total-leave", which shares the IMS / MYOB button. detect(): a single header row containing Employee Number, AL Outstanding and SL Balance. parse(): one row per employee; rows with no Employee Number are skipped. convert(): Employee Code = Employee Number, and AL Outstanding, AL Advanced, SL Balance and Alt Balance are passed through as-is. Dollar-value columns are not output.</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b/>
                <w:bCs/>
                <w:color w:val="063057"/>
                <w:sz w:val="20"/>
                <w:szCs w:val="20"/>
              </w:rPr>
              <w:t xml:space="preserve">On-screen indicator</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
              <w:rPr>
                <w:color w:val="374151"/>
                <w:sz w:val="20"/>
                <w:szCs w:val="20"/>
              </w:rPr>
              <w:t xml:space="preserve">The status line reads "IMS / MYOB (Total Leave report) format detected". The leave code grid shows the four columns with their units (all on by default). A blue notice above the preview lists the unit of each column, read from the file's AL Unit, SL Unit and Alt Unit columns.</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b/>
                <w:bCs/>
                <w:color w:val="063057"/>
                <w:sz w:val="20"/>
                <w:szCs w:val="20"/>
              </w:rPr>
              <w:t xml:space="preserve">CSV output</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
              <w:rPr>
                <w:color w:val="374151"/>
                <w:sz w:val="20"/>
                <w:szCs w:val="20"/>
              </w:rPr>
              <w:t xml:space="preserve">Columns: Employee Code, AL Outstanding, AL Advanced, SL Balance, Alt Balance. Units are mixed: AL Outstanding and AL Advanced are in HOURS, SL Balance and Alt Balance are in DAYS. Map each accordingly in the import. This report has no AL Accrued figure; use the Employee Leave report if accrued is needed.</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b/>
                <w:bCs/>
                <w:color w:val="063057"/>
                <w:sz w:val="20"/>
                <w:szCs w:val="20"/>
              </w:rPr>
              <w:t xml:space="preserve">Backwards compatibility</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
              <w:rPr>
                <w:color w:val="374151"/>
                <w:sz w:val="20"/>
                <w:szCs w:val="20"/>
              </w:rPr>
              <w:t xml:space="preserve">The original IMS/MYOB Employee Leave format, Smartly and Rocket are unaffected and produce identical output.</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b/>
                <w:bCs/>
                <w:color w:val="063057"/>
                <w:sz w:val="20"/>
                <w:szCs w:val="20"/>
              </w:rPr>
              <w:t xml:space="preserve">Tested with</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
              <w:rPr>
                <w:color w:val="374151"/>
                <w:sz w:val="20"/>
                <w:szCs w:val="20"/>
              </w:rPr>
              <w:t xml:space="preserve">Total_Leave_2026_09_27 (IMS): 72 employees converted. For example, employee 102304 has AL Outstanding 150.24 hrs, SL Balance 5 days and Alt Balance 1 day. One row (no Employee Number, all-zero balances) is skipped. Regression checked against Eldon IMS Employee Leave (85), Rocket VIEWTTLB (186) and Mckenzie HC Smartly (524 records).</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b/>
                <w:bCs/>
                <w:color w:val="063057"/>
                <w:sz w:val="20"/>
                <w:szCs w:val="20"/>
              </w:rPr>
              <w:t xml:space="preserve">Rollback</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
              <w:rPr>
                <w:color w:val="374151"/>
                <w:sz w:val="20"/>
                <w:szCs w:val="20"/>
              </w:rPr>
              <w:t xml:space="preserve">Previous version is git commit 6ec97c5 in the repository.</w:t>
            </w:r>
          </w:p>
        </w:tc>
      </w:tr>
    </w:tbl>
    <w:p>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b/>
                <w:bCs/>
                <w:color w:val="063057"/>
                <w:sz w:val="20"/>
                <w:szCs w:val="20"/>
              </w:rPr>
              <w:t xml:space="preserve">Date</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color w:val="374151"/>
                <w:sz w:val="20"/>
                <w:szCs w:val="20"/>
              </w:rPr>
              <w:t xml:space="preserve">28 September 2026</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b/>
                <w:bCs/>
                <w:color w:val="063057"/>
                <w:sz w:val="20"/>
                <w:szCs w:val="20"/>
              </w:rPr>
              <w:t xml:space="preserve">Provider</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color w:val="374151"/>
                <w:sz w:val="20"/>
                <w:szCs w:val="20"/>
              </w:rPr>
              <w:t xml:space="preserve">Smartly</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b/>
                <w:bCs/>
                <w:color w:val="063057"/>
                <w:sz w:val="20"/>
                <w:szCs w:val="20"/>
              </w:rPr>
              <w:t xml:space="preserve">Change</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color w:val="374151"/>
                <w:sz w:val="20"/>
                <w:szCs w:val="20"/>
              </w:rPr>
              <w:t xml:space="preserve">New optional "AL Accrued" output column carrying the Annual Leave accrued value.</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b/>
                <w:bCs/>
                <w:color w:val="063057"/>
                <w:sz w:val="20"/>
                <w:szCs w:val="20"/>
              </w:rPr>
              <w:t xml:space="preserve">Reason</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color w:val="374151"/>
                <w:sz w:val="20"/>
                <w:szCs w:val="20"/>
              </w:rPr>
              <w:t xml:space="preserve">Requested so the Annual Leave accrued figure from Smartly comes through to Simplifi alongside the #70 balance.</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b/>
                <w:bCs/>
                <w:color w:val="063057"/>
                <w:sz w:val="20"/>
                <w:szCs w:val="20"/>
              </w:rPr>
              <w:t xml:space="preserve">Conversion logic</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color w:val="374151"/>
                <w:sz w:val="20"/>
                <w:szCs w:val="20"/>
              </w:rPr>
              <w:t xml:space="preserve">On Annual Leave rows, the "Accrued" column is passed through as-is (no unit conversion) into "AL Accrued", placed after #70. It is captured separately from the balance, so with "skip zero balances" on, a zero #70 does not hide a non-zero accrual; a zero or blank accrual is left blank.</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b/>
                <w:bCs/>
                <w:color w:val="063057"/>
                <w:sz w:val="20"/>
                <w:szCs w:val="20"/>
              </w:rPr>
              <w:t xml:space="preserve">On-screen indicator</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color w:val="374151"/>
                <w:sz w:val="20"/>
                <w:szCs w:val="20"/>
              </w:rPr>
              <w:t xml:space="preserve">AL Accrued appears as its own tick box in the leave code grid (on by default), labelled "Annual Leave Accrued (weeks, raw from Smartly)", and as a column in the preview.</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b/>
                <w:bCs/>
                <w:color w:val="063057"/>
                <w:sz w:val="20"/>
                <w:szCs w:val="20"/>
              </w:rPr>
              <w:t xml:space="preserve">CSV output</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color w:val="374151"/>
                <w:sz w:val="20"/>
                <w:szCs w:val="20"/>
              </w:rPr>
              <w:t xml:space="preserve">Adds an "AL Accrued" column after #70. Values are in WEEKS (the Unit Smartly reports for Annual Leave), not hours — map it as weeks in the import, or untick it if not needed.</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b/>
                <w:bCs/>
                <w:color w:val="063057"/>
                <w:sz w:val="20"/>
                <w:szCs w:val="20"/>
              </w:rPr>
              <w:t xml:space="preserve">Backwards compatibility</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color w:val="374151"/>
                <w:sz w:val="20"/>
                <w:szCs w:val="20"/>
              </w:rPr>
              <w:t xml:space="preserve">All existing columns and values are unchanged. Unticking AL Accrued gives output identical to the previous version. IMS/MYOB and Rocket are unaffected.</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b/>
                <w:bCs/>
                <w:color w:val="063057"/>
                <w:sz w:val="20"/>
                <w:szCs w:val="20"/>
              </w:rPr>
              <w:t xml:space="preserve">Tested with</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color w:val="374151"/>
                <w:sz w:val="20"/>
                <w:szCs w:val="20"/>
              </w:rPr>
              <w:t xml:space="preserve">Mckenzie HC (PPE 12/04/2026): 95 employees, e.g. employee 351 #70 = 69.716 hrs, AL Accrued = 3.7145 weeks. Checked with skip zero balances on and off.</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b/>
                <w:bCs/>
                <w:color w:val="063057"/>
                <w:sz w:val="20"/>
                <w:szCs w:val="20"/>
              </w:rPr>
              <w:t xml:space="preserve">Rollback</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color w:val="374151"/>
                <w:sz w:val="20"/>
                <w:szCs w:val="20"/>
              </w:rPr>
              <w:t xml:space="preserve">Previous version saved as index.backup-2026-09-28-pre-accrued.html alongside index.html.</w:t>
            </w:r>
          </w:p>
        </w:tc>
      </w:tr>
    </w:tbl>
    <w:p>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b/>
                <w:bCs/>
                <w:color w:val="063057"/>
                <w:sz w:val="20"/>
                <w:szCs w:val="20"/>
              </w:rPr>
              <w:t xml:space="preserve">Date</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color w:val="374151"/>
                <w:sz w:val="20"/>
                <w:szCs w:val="20"/>
              </w:rPr>
              <w:t xml:space="preserve">28 September 2026</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b/>
                <w:bCs/>
                <w:color w:val="063057"/>
                <w:sz w:val="20"/>
                <w:szCs w:val="20"/>
              </w:rPr>
              <w:t xml:space="preserve">Provider</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color w:val="374151"/>
                <w:sz w:val="20"/>
                <w:szCs w:val="20"/>
              </w:rPr>
              <w:t xml:space="preserve">Smartly</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b/>
                <w:bCs/>
                <w:color w:val="063057"/>
                <w:sz w:val="20"/>
                <w:szCs w:val="20"/>
              </w:rPr>
              <w:t xml:space="preserve">Change</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color w:val="374151"/>
                <w:sz w:val="20"/>
                <w:szCs w:val="20"/>
              </w:rPr>
              <w:t xml:space="preserve">Annual Leave (#70) now falls back to Balance (Days) when Balance (Hours) is blank.</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b/>
                <w:bCs/>
                <w:color w:val="063057"/>
                <w:sz w:val="20"/>
                <w:szCs w:val="20"/>
              </w:rPr>
              <w:t xml:space="preserve">Reason</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color w:val="374151"/>
                <w:sz w:val="20"/>
                <w:szCs w:val="20"/>
              </w:rPr>
              <w:t xml:space="preserve">Some Smartly exports (first seen with Age Care Central Ltd) include an extra Balance (Days) column. On Annual Leave rows Balance (Hours) is blank and the figure is only in Balance (Days). Before this change #70 was output blank for every employee in these files.</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b/>
                <w:bCs/>
                <w:color w:val="063057"/>
                <w:sz w:val="20"/>
                <w:szCs w:val="20"/>
              </w:rPr>
              <w:t xml:space="preserve">Conversion logic</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color w:val="374151"/>
                <w:sz w:val="20"/>
                <w:szCs w:val="20"/>
              </w:rPr>
              <w:t xml:space="preserve">Annual Leave: use Balance (Hours) if populated, otherwise Balance (Days). All other leave types continue to use Balance. Columns are matched by header name, so the extra column does not affect parsing.</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b/>
                <w:bCs/>
                <w:color w:val="063057"/>
                <w:sz w:val="20"/>
                <w:szCs w:val="20"/>
              </w:rPr>
              <w:t xml:space="preserve">On-screen indicator</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color w:val="374151"/>
                <w:sz w:val="20"/>
                <w:szCs w:val="20"/>
              </w:rPr>
              <w:t xml:space="preserve">When any #70 value came from days, the preview column header shows "#70 (Days)" and an amber notice warns that Annual Leave is in days. If a file mixes hours and days across employees, the header shows "#70 (Hours/Days)" with a mixed-units warning. Zero balances are ignored when deciding the unit.</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b/>
                <w:bCs/>
                <w:color w:val="063057"/>
                <w:sz w:val="20"/>
                <w:szCs w:val="20"/>
              </w:rPr>
              <w:t xml:space="preserve">CSV output</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color w:val="374151"/>
                <w:sz w:val="20"/>
                <w:szCs w:val="20"/>
              </w:rPr>
              <w:t xml:space="preserve">Unchanged: the downloaded file keeps the plain "#70" header so the Simplifi import mapping is not affected. The unit label appears in the preview only, so the person importing must treat #70 as days for these clients.</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b/>
                <w:bCs/>
                <w:color w:val="063057"/>
                <w:sz w:val="20"/>
                <w:szCs w:val="20"/>
              </w:rPr>
              <w:t xml:space="preserve">Backwards compatibility</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color w:val="374151"/>
                <w:sz w:val="20"/>
                <w:szCs w:val="20"/>
              </w:rPr>
              <w:t xml:space="preserve">Exports without a Balance (Days) column (e.g. Mckenzie HC) produce identical output to the previous version.</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b/>
                <w:bCs/>
                <w:color w:val="063057"/>
                <w:sz w:val="20"/>
                <w:szCs w:val="20"/>
              </w:rPr>
              <w:t xml:space="preserve">Tested with</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rsidR="008D2B94" w:rsidRDefault="000E6516">
            <w:r>
              <w:rPr>
                <w:color w:val="374151"/>
                <w:sz w:val="20"/>
                <w:szCs w:val="20"/>
              </w:rPr>
              <w:t xml:space="preserve">Age Care Central Ltd (PPE 09/08/2026): 83 employees, all #70 values populated in days, notice shown. Mckenzie HC (PPE 10/05/2026): 92 employees, output unchanged, no notice.</w:t>
            </w:r>
          </w:p>
        </w:tc>
      </w:tr>
      <w:tr w:rsidR="008D2B94">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b/>
                <w:bCs/>
                <w:color w:val="063057"/>
                <w:sz w:val="20"/>
                <w:szCs w:val="20"/>
              </w:rPr>
              <w:t xml:space="preserve">Rollback</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rsidR="008D2B94" w:rsidRDefault="000E6516">
            <w:r>
              <w:rPr>
                <w:color w:val="374151"/>
                <w:sz w:val="20"/>
                <w:szCs w:val="20"/>
              </w:rPr>
              <w:t xml:space="preserve">Previous version saved as index.backup-2026-09-28.html alongside index.html.</w:t>
            </w:r>
          </w:p>
        </w:tc>
      </w:tr>
    </w:tbl>
    <w:p>
      <w:pPr>
        <w:spacing w:after="60"/>
      </w:pPr>
    </w:p>
    <w:p>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B94" w14:paraId="761F06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63057"/>
            <w:tcMar>
              <w:top w:w="120" w:type="dxa"/>
              <w:left w:w="200" w:type="dxa"/>
              <w:bottom w:w="120" w:type="dxa"/>
              <w:right w:w="200" w:type="dxa"/>
            </w:tcMar>
          </w:tcPr>
          <w:p w14:paraId="761F0633" w14:textId="77777777" w:rsidR="008D2B94" w:rsidRDefault="000E6516">
            <w:r>
              <w:rPr>
                <w:b/>
                <w:bCs/>
                <w:color w:val="FFFFFF"/>
                <w:sz w:val="26"/>
                <w:szCs w:val="26"/>
              </w:rPr>
              <w:t>10.  Point of Contact</w:t>
            </w:r>
          </w:p>
        </w:tc>
      </w:tr>
    </w:tbl>
    <w:p w14:paraId="761F0635" w14:textId="77777777" w:rsidR="008D2B94" w:rsidRDefault="008D2B94">
      <w:pPr>
        <w:spacing w:after="100"/>
      </w:pPr>
    </w:p>
    <w:p w14:paraId="761F0636" w14:textId="77777777" w:rsidR="008D2B94" w:rsidRDefault="000E6516">
      <w:pPr>
        <w:spacing w:after="160"/>
      </w:pPr>
      <w:r>
        <w:rPr>
          <w:color w:val="374151"/>
        </w:rPr>
        <w:t>For questions about the codebase, the current deployment, or the migration process, contact:</w:t>
      </w:r>
    </w:p>
    <w:p w14:paraId="761F0637" w14:textId="77777777" w:rsidR="008D2B94" w:rsidRDefault="008D2B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D2B94" w14:paraId="761F063A"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38" w14:textId="77777777" w:rsidR="008D2B94" w:rsidRDefault="000E6516">
            <w:r>
              <w:rPr>
                <w:b/>
                <w:bCs/>
                <w:color w:val="063057"/>
                <w:sz w:val="20"/>
                <w:szCs w:val="20"/>
              </w:rPr>
              <w:t>Owner / Author</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39" w14:textId="77777777" w:rsidR="008D2B94" w:rsidRDefault="000E6516">
            <w:r>
              <w:rPr>
                <w:color w:val="374151"/>
                <w:sz w:val="20"/>
                <w:szCs w:val="20"/>
              </w:rPr>
              <w:t>Jamie Callawick</w:t>
            </w:r>
          </w:p>
        </w:tc>
      </w:tr>
      <w:tr w:rsidR="008D2B94" w14:paraId="761F063D"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63B" w14:textId="77777777" w:rsidR="008D2B94" w:rsidRDefault="000E6516">
            <w:r>
              <w:rPr>
                <w:b/>
                <w:bCs/>
                <w:color w:val="063057"/>
                <w:sz w:val="20"/>
                <w:szCs w:val="20"/>
              </w:rPr>
              <w:t>Email</w:t>
            </w:r>
          </w:p>
        </w:tc>
        <w:tc>
          <w:tcPr>
            <w:tcW w:w="65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61F063C" w14:textId="77777777" w:rsidR="008D2B94" w:rsidRDefault="000E6516">
            <w:r>
              <w:rPr>
                <w:color w:val="374151"/>
                <w:sz w:val="20"/>
                <w:szCs w:val="20"/>
              </w:rPr>
              <w:t>jamie@simplifi.work</w:t>
            </w:r>
          </w:p>
        </w:tc>
      </w:tr>
      <w:tr w:rsidR="008D2B94" w14:paraId="761F0640" w14:textId="77777777">
        <w:tblPrEx>
          <w:tblCellMar>
            <w:top w:w="0" w:type="dxa"/>
            <w:bottom w:w="0" w:type="dxa"/>
          </w:tblCellMar>
        </w:tblPrEx>
        <w:trPr>
          <w:cantSplit/>
        </w:trPr>
        <w:tc>
          <w:tcPr>
            <w:tcW w:w="280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3E" w14:textId="77777777" w:rsidR="008D2B94" w:rsidRDefault="000E6516">
            <w:r>
              <w:rPr>
                <w:b/>
                <w:bCs/>
                <w:color w:val="063057"/>
                <w:sz w:val="20"/>
                <w:szCs w:val="20"/>
              </w:rPr>
              <w:t>GitHub</w:t>
            </w:r>
          </w:p>
        </w:tc>
        <w:tc>
          <w:tcPr>
            <w:tcW w:w="6560" w:type="dxa"/>
            <w:tcBorders>
              <w:top w:val="single" w:sz="1" w:space="0" w:color="E5E7EB"/>
              <w:left w:val="single" w:sz="1" w:space="0" w:color="E5E7EB"/>
              <w:bottom w:val="single" w:sz="1" w:space="0" w:color="E5E7EB"/>
              <w:right w:val="single" w:sz="1" w:space="0" w:color="E5E7EB"/>
            </w:tcBorders>
            <w:shd w:val="clear" w:color="auto" w:fill="F8F9FA"/>
            <w:tcMar>
              <w:top w:w="80" w:type="dxa"/>
              <w:left w:w="120" w:type="dxa"/>
              <w:bottom w:w="80" w:type="dxa"/>
              <w:right w:w="120" w:type="dxa"/>
            </w:tcMar>
          </w:tcPr>
          <w:p w14:paraId="761F063F" w14:textId="77777777" w:rsidR="008D2B94" w:rsidRDefault="000E6516">
            <w:r>
              <w:rPr>
                <w:color w:val="374151"/>
                <w:sz w:val="20"/>
                <w:szCs w:val="20"/>
              </w:rPr>
              <w:t>github.com/Jamie-Callawick</w:t>
            </w:r>
          </w:p>
        </w:tc>
      </w:tr>
    </w:tbl>
    <w:p w14:paraId="761F0641" w14:textId="77777777" w:rsidR="008D2B94" w:rsidRDefault="008D2B94">
      <w:pPr>
        <w:spacing w:after="300"/>
      </w:pPr>
    </w:p>
    <w:p w14:paraId="761F0642" w14:textId="77777777" w:rsidR="008D2B94" w:rsidRDefault="000E6516">
      <w:pPr>
        <w:spacing w:after="160"/>
        <w:jc w:val="center"/>
      </w:pPr>
      <w:r>
        <w:rPr>
          <w:i/>
          <w:iCs/>
          <w:color w:val="374151"/>
        </w:rPr>
        <w:t>Prepared June 2026 · Updated October 2026  |  Simplifi  |  Confidential - Internal Use Only</w:t>
      </w:r>
    </w:p>
    <w:sectPr w:rsidR="008D2B9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2AA3D" w14:textId="77777777" w:rsidR="000E6516" w:rsidRDefault="000E6516">
      <w:r>
        <w:separator/>
      </w:r>
    </w:p>
  </w:endnote>
  <w:endnote w:type="continuationSeparator" w:id="0">
    <w:p w14:paraId="2F006733" w14:textId="77777777" w:rsidR="000E6516" w:rsidRDefault="000E6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F0644" w14:textId="7AD21343" w:rsidR="008D2B94" w:rsidRDefault="000E6516">
    <w:pPr>
      <w:pBdr>
        <w:top w:val="single" w:sz="4" w:space="1" w:color="DC7C3A"/>
      </w:pBdr>
      <w:tabs>
        <w:tab w:val="right" w:pos="9360"/>
      </w:tabs>
    </w:pPr>
    <w:r>
      <w:rPr>
        <w:color w:val="374151"/>
        <w:sz w:val="16"/>
        <w:szCs w:val="16"/>
      </w:rPr>
      <w:t>Confidential — Internal Use Only</w:t>
    </w:r>
    <w:r>
      <w:tab/>
    </w:r>
    <w:r>
      <w:rPr>
        <w:color w:val="374151"/>
        <w:sz w:val="16"/>
        <w:szCs w:val="16"/>
      </w:rPr>
      <w:t xml:space="preserve">Page </w:t>
    </w:r>
    <w:r>
      <w:rPr>
        <w:color w:val="374151"/>
        <w:sz w:val="16"/>
        <w:szCs w:val="16"/>
      </w:rPr>
      <w:fldChar w:fldCharType="begin"/>
    </w:r>
    <w:r>
      <w:rPr>
        <w:color w:val="374151"/>
        <w:sz w:val="16"/>
        <w:szCs w:val="16"/>
      </w:rPr>
      <w:instrText>PAGE</w:instrText>
    </w:r>
    <w:r>
      <w:rPr>
        <w:color w:val="374151"/>
        <w:sz w:val="16"/>
        <w:szCs w:val="16"/>
      </w:rPr>
      <w:fldChar w:fldCharType="separate"/>
    </w:r>
    <w:r w:rsidR="005F5E8C">
      <w:rPr>
        <w:noProof/>
        <w:color w:val="374151"/>
        <w:sz w:val="16"/>
        <w:szCs w:val="16"/>
      </w:rPr>
      <w:t>1</w:t>
    </w:r>
    <w:r>
      <w:rPr>
        <w:color w:val="37415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F6B69" w14:textId="77777777" w:rsidR="000E6516" w:rsidRDefault="000E6516">
      <w:r>
        <w:separator/>
      </w:r>
    </w:p>
  </w:footnote>
  <w:footnote w:type="continuationSeparator" w:id="0">
    <w:p w14:paraId="0273612B" w14:textId="77777777" w:rsidR="000E6516" w:rsidRDefault="000E65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F0643" w14:textId="77777777" w:rsidR="008D2B94" w:rsidRDefault="000E6516">
    <w:pPr>
      <w:pBdr>
        <w:bottom w:val="single" w:sz="4" w:space="1" w:color="DC7C3A"/>
      </w:pBdr>
      <w:tabs>
        <w:tab w:val="right" w:pos="9360"/>
      </w:tabs>
    </w:pPr>
    <w:r>
      <w:rPr>
        <w:b/>
        <w:bCs/>
        <w:color w:val="063057"/>
        <w:sz w:val="18"/>
        <w:szCs w:val="18"/>
      </w:rPr>
      <w:t>Leave Balance Converter — Technical Overview</w:t>
    </w:r>
    <w:r>
      <w:tab/>
    </w:r>
    <w:r>
      <w:rPr>
        <w:b/>
        <w:bCs/>
        <w:color w:val="DC7C3A"/>
        <w:sz w:val="18"/>
        <w:szCs w:val="18"/>
      </w:rPr>
      <w:t>Simplifi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3AF0"/>
    <w:multiLevelType w:val="hybridMultilevel"/>
    <w:tmpl w:val="88104C08"/>
    <w:lvl w:ilvl="0" w:tplc="1E4A46A6">
      <w:start w:val="1"/>
      <w:numFmt w:val="bullet"/>
      <w:lvlText w:val="•"/>
      <w:lvlJc w:val="left"/>
      <w:pPr>
        <w:ind w:left="720" w:hanging="360"/>
      </w:pPr>
    </w:lvl>
    <w:lvl w:ilvl="1" w:tplc="C5946374">
      <w:numFmt w:val="decimal"/>
      <w:lvlText w:val=""/>
      <w:lvlJc w:val="left"/>
    </w:lvl>
    <w:lvl w:ilvl="2" w:tplc="BEF8D576">
      <w:numFmt w:val="decimal"/>
      <w:lvlText w:val=""/>
      <w:lvlJc w:val="left"/>
    </w:lvl>
    <w:lvl w:ilvl="3" w:tplc="B960424E">
      <w:numFmt w:val="decimal"/>
      <w:lvlText w:val=""/>
      <w:lvlJc w:val="left"/>
    </w:lvl>
    <w:lvl w:ilvl="4" w:tplc="211EFBD6">
      <w:numFmt w:val="decimal"/>
      <w:lvlText w:val=""/>
      <w:lvlJc w:val="left"/>
    </w:lvl>
    <w:lvl w:ilvl="5" w:tplc="E50C9D18">
      <w:numFmt w:val="decimal"/>
      <w:lvlText w:val=""/>
      <w:lvlJc w:val="left"/>
    </w:lvl>
    <w:lvl w:ilvl="6" w:tplc="2BF83B9C">
      <w:numFmt w:val="decimal"/>
      <w:lvlText w:val=""/>
      <w:lvlJc w:val="left"/>
    </w:lvl>
    <w:lvl w:ilvl="7" w:tplc="1D6C07F6">
      <w:numFmt w:val="decimal"/>
      <w:lvlText w:val=""/>
      <w:lvlJc w:val="left"/>
    </w:lvl>
    <w:lvl w:ilvl="8" w:tplc="E73A5F0E">
      <w:numFmt w:val="decimal"/>
      <w:lvlText w:val=""/>
      <w:lvlJc w:val="left"/>
    </w:lvl>
  </w:abstractNum>
  <w:abstractNum w:abstractNumId="1" w15:restartNumberingAfterBreak="0">
    <w:nsid w:val="1F1B09EC"/>
    <w:multiLevelType w:val="hybridMultilevel"/>
    <w:tmpl w:val="793456AC"/>
    <w:lvl w:ilvl="0" w:tplc="9368667E">
      <w:start w:val="1"/>
      <w:numFmt w:val="bullet"/>
      <w:lvlText w:val="●"/>
      <w:lvlJc w:val="left"/>
      <w:pPr>
        <w:ind w:left="720" w:hanging="360"/>
      </w:pPr>
    </w:lvl>
    <w:lvl w:ilvl="1" w:tplc="4B2A017C">
      <w:start w:val="1"/>
      <w:numFmt w:val="bullet"/>
      <w:lvlText w:val="○"/>
      <w:lvlJc w:val="left"/>
      <w:pPr>
        <w:ind w:left="1440" w:hanging="360"/>
      </w:pPr>
    </w:lvl>
    <w:lvl w:ilvl="2" w:tplc="55F615DC">
      <w:start w:val="1"/>
      <w:numFmt w:val="bullet"/>
      <w:lvlText w:val="■"/>
      <w:lvlJc w:val="left"/>
      <w:pPr>
        <w:ind w:left="2160" w:hanging="360"/>
      </w:pPr>
    </w:lvl>
    <w:lvl w:ilvl="3" w:tplc="1BC0F356">
      <w:start w:val="1"/>
      <w:numFmt w:val="bullet"/>
      <w:lvlText w:val="●"/>
      <w:lvlJc w:val="left"/>
      <w:pPr>
        <w:ind w:left="2880" w:hanging="360"/>
      </w:pPr>
    </w:lvl>
    <w:lvl w:ilvl="4" w:tplc="B7C45196">
      <w:start w:val="1"/>
      <w:numFmt w:val="bullet"/>
      <w:lvlText w:val="○"/>
      <w:lvlJc w:val="left"/>
      <w:pPr>
        <w:ind w:left="3600" w:hanging="360"/>
      </w:pPr>
    </w:lvl>
    <w:lvl w:ilvl="5" w:tplc="660AEF2C">
      <w:start w:val="1"/>
      <w:numFmt w:val="bullet"/>
      <w:lvlText w:val="■"/>
      <w:lvlJc w:val="left"/>
      <w:pPr>
        <w:ind w:left="4320" w:hanging="360"/>
      </w:pPr>
    </w:lvl>
    <w:lvl w:ilvl="6" w:tplc="F5EE74DE">
      <w:start w:val="1"/>
      <w:numFmt w:val="bullet"/>
      <w:lvlText w:val="●"/>
      <w:lvlJc w:val="left"/>
      <w:pPr>
        <w:ind w:left="5040" w:hanging="360"/>
      </w:pPr>
    </w:lvl>
    <w:lvl w:ilvl="7" w:tplc="0778C592">
      <w:start w:val="1"/>
      <w:numFmt w:val="bullet"/>
      <w:lvlText w:val="●"/>
      <w:lvlJc w:val="left"/>
      <w:pPr>
        <w:ind w:left="5760" w:hanging="360"/>
      </w:pPr>
    </w:lvl>
    <w:lvl w:ilvl="8" w:tplc="020CE1A2">
      <w:start w:val="1"/>
      <w:numFmt w:val="bullet"/>
      <w:lvlText w:val="●"/>
      <w:lvlJc w:val="left"/>
      <w:pPr>
        <w:ind w:left="6480" w:hanging="360"/>
      </w:pPr>
    </w:lvl>
  </w:abstractNum>
  <w:num w:numId="1" w16cid:durableId="2137679697">
    <w:abstractNumId w:val="1"/>
    <w:lvlOverride w:ilvl="0">
      <w:startOverride w:val="1"/>
    </w:lvlOverride>
  </w:num>
  <w:num w:numId="2" w16cid:durableId="838010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B94"/>
    <w:rsid w:val="000E6516"/>
    <w:rsid w:val="00401FEF"/>
    <w:rsid w:val="00577020"/>
    <w:rsid w:val="005F5E8C"/>
    <w:rsid w:val="006201D8"/>
    <w:rsid w:val="006D2D12"/>
    <w:rsid w:val="008D2B94"/>
    <w:rsid w:val="00BE7403"/>
    <w:rsid w:val="00D915C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F0550"/>
  <w15:docId w15:val="{CA6910A3-348E-42E5-8C16-0E19BF3E2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63057"/>
      <w:sz w:val="36"/>
      <w:szCs w:val="36"/>
    </w:rPr>
  </w:style>
  <w:style w:type="paragraph" w:styleId="Heading2">
    <w:name w:val="heading 2"/>
    <w:uiPriority w:val="9"/>
    <w:semiHidden/>
    <w:unhideWhenUsed/>
    <w:qFormat/>
    <w:pPr>
      <w:spacing w:before="240" w:after="120"/>
      <w:outlineLvl w:val="1"/>
    </w:pPr>
    <w:rPr>
      <w:b/>
      <w:bCs/>
      <w:color w:val="0630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D2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jamie-callawick.github.io/Leave-Balance-Worker-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1579</Words>
  <Characters>8923</Characters>
  <Application>Microsoft Office Word</Application>
  <DocSecurity>0</DocSecurity>
  <Lines>287</Lines>
  <Paragraphs>177</Paragraphs>
  <ScaleCrop>false</ScaleCrop>
  <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Callawick</cp:lastModifiedBy>
  <cp:revision>7</cp:revision>
  <dcterms:created xsi:type="dcterms:W3CDTF">2026-06-02T21:55:00Z</dcterms:created>
  <dcterms:modified xsi:type="dcterms:W3CDTF">2026-06-02T22:18:00Z</dcterms:modified>
</cp:coreProperties>
</file>