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15BD" w14:textId="77777777" w:rsidR="00E81FB9" w:rsidRPr="007D7FA9" w:rsidRDefault="00000000">
      <w:pPr>
        <w:pStyle w:val="Heading1"/>
        <w:rPr>
          <w:rFonts w:ascii="Arial" w:hAnsi="Arial" w:cs="Arial"/>
          <w:sz w:val="44"/>
          <w:szCs w:val="44"/>
        </w:rPr>
      </w:pPr>
      <w:r w:rsidRPr="007D7FA9">
        <w:rPr>
          <w:rFonts w:ascii="Arial" w:hAnsi="Arial" w:cs="Arial"/>
          <w:sz w:val="44"/>
          <w:szCs w:val="44"/>
        </w:rPr>
        <w:t>Risk Factors for Agentic AI Applications</w:t>
      </w:r>
    </w:p>
    <w:p w14:paraId="5A88D0B8" w14:textId="77777777" w:rsidR="00E81FB9" w:rsidRPr="007D7FA9" w:rsidRDefault="00000000">
      <w:pPr>
        <w:pStyle w:val="Heading2"/>
        <w:rPr>
          <w:rFonts w:ascii="Arial" w:hAnsi="Arial" w:cs="Arial"/>
          <w:sz w:val="32"/>
          <w:szCs w:val="32"/>
        </w:rPr>
      </w:pPr>
      <w:r w:rsidRPr="007D7FA9">
        <w:rPr>
          <w:rFonts w:ascii="Arial" w:hAnsi="Arial" w:cs="Arial"/>
          <w:sz w:val="32"/>
          <w:szCs w:val="32"/>
        </w:rPr>
        <w:t>1. Autonomy and Human Oversight</w:t>
      </w:r>
    </w:p>
    <w:p w14:paraId="4DBC139C" w14:textId="77777777" w:rsidR="00E81FB9" w:rsidRPr="007D7FA9" w:rsidRDefault="00000000">
      <w:pPr>
        <w:rPr>
          <w:rFonts w:ascii="Arial" w:hAnsi="Arial" w:cs="Arial"/>
          <w:sz w:val="20"/>
          <w:szCs w:val="20"/>
        </w:rPr>
      </w:pPr>
      <w:r w:rsidRPr="007D7FA9">
        <w:rPr>
          <w:rFonts w:ascii="Arial" w:hAnsi="Arial" w:cs="Arial"/>
          <w:sz w:val="20"/>
          <w:szCs w:val="20"/>
        </w:rPr>
        <w:t xml:space="preserve">The more independently an agent can act — making decisions, executing multi-step plans, and taking real-world actions without human checkpoints — the higher the risk. A read-only research agent is very different from one that can send emails, execute code, or </w:t>
      </w:r>
      <w:proofErr w:type="gramStart"/>
      <w:r w:rsidRPr="007D7FA9">
        <w:rPr>
          <w:rFonts w:ascii="Arial" w:hAnsi="Arial" w:cs="Arial"/>
          <w:sz w:val="20"/>
          <w:szCs w:val="20"/>
        </w:rPr>
        <w:t>move</w:t>
      </w:r>
      <w:proofErr w:type="gramEnd"/>
      <w:r w:rsidRPr="007D7FA9">
        <w:rPr>
          <w:rFonts w:ascii="Arial" w:hAnsi="Arial" w:cs="Arial"/>
          <w:sz w:val="20"/>
          <w:szCs w:val="20"/>
        </w:rPr>
        <w:t xml:space="preserve"> money. Key considerations include the degree of human-in-the-loop control, the availability of approval gates at critical decision points, and whether the agent can be paused or overridden in real time.</w:t>
      </w:r>
    </w:p>
    <w:p w14:paraId="43492FAC" w14:textId="77777777" w:rsidR="00E81FB9" w:rsidRPr="007D7FA9" w:rsidRDefault="00000000">
      <w:pPr>
        <w:pStyle w:val="Heading2"/>
        <w:rPr>
          <w:rFonts w:ascii="Arial" w:hAnsi="Arial" w:cs="Arial"/>
          <w:sz w:val="32"/>
          <w:szCs w:val="32"/>
        </w:rPr>
      </w:pPr>
      <w:r w:rsidRPr="007D7FA9">
        <w:rPr>
          <w:rFonts w:ascii="Arial" w:hAnsi="Arial" w:cs="Arial"/>
          <w:sz w:val="32"/>
          <w:szCs w:val="32"/>
        </w:rPr>
        <w:t>2. Scope of Access and Permissions</w:t>
      </w:r>
    </w:p>
    <w:p w14:paraId="69B6B7D1" w14:textId="77777777" w:rsidR="00E81FB9" w:rsidRPr="007D7FA9" w:rsidRDefault="00000000">
      <w:pPr>
        <w:rPr>
          <w:rFonts w:ascii="Arial" w:hAnsi="Arial" w:cs="Arial"/>
          <w:sz w:val="20"/>
          <w:szCs w:val="20"/>
        </w:rPr>
      </w:pPr>
      <w:r w:rsidRPr="007D7FA9">
        <w:rPr>
          <w:rFonts w:ascii="Arial" w:hAnsi="Arial" w:cs="Arial"/>
          <w:sz w:val="20"/>
          <w:szCs w:val="20"/>
        </w:rPr>
        <w:t xml:space="preserve">What systems, data, and tools can the agent reach? An agent with access to production databases, financial systems, or PII carries far more risk than one sandboxed to public information. This includes both the breadth of access (how many systems) and depth (what it can do within each system). </w:t>
      </w:r>
      <w:proofErr w:type="gramStart"/>
      <w:r w:rsidRPr="007D7FA9">
        <w:rPr>
          <w:rFonts w:ascii="Arial" w:hAnsi="Arial" w:cs="Arial"/>
          <w:sz w:val="20"/>
          <w:szCs w:val="20"/>
        </w:rPr>
        <w:t>Least-privilege</w:t>
      </w:r>
      <w:proofErr w:type="gramEnd"/>
      <w:r w:rsidRPr="007D7FA9">
        <w:rPr>
          <w:rFonts w:ascii="Arial" w:hAnsi="Arial" w:cs="Arial"/>
          <w:sz w:val="20"/>
          <w:szCs w:val="20"/>
        </w:rPr>
        <w:t xml:space="preserve"> principles are essential here.</w:t>
      </w:r>
    </w:p>
    <w:p w14:paraId="21B6C111" w14:textId="77777777" w:rsidR="00E81FB9" w:rsidRPr="007D7FA9" w:rsidRDefault="00000000">
      <w:pPr>
        <w:pStyle w:val="Heading2"/>
        <w:rPr>
          <w:rFonts w:ascii="Arial" w:hAnsi="Arial" w:cs="Arial"/>
          <w:sz w:val="32"/>
          <w:szCs w:val="32"/>
        </w:rPr>
      </w:pPr>
      <w:r w:rsidRPr="007D7FA9">
        <w:rPr>
          <w:rFonts w:ascii="Arial" w:hAnsi="Arial" w:cs="Arial"/>
          <w:sz w:val="32"/>
          <w:szCs w:val="32"/>
        </w:rPr>
        <w:t>3. Reversibility of Actions</w:t>
      </w:r>
    </w:p>
    <w:p w14:paraId="7B19717A" w14:textId="77777777" w:rsidR="00E81FB9" w:rsidRPr="007D7FA9" w:rsidRDefault="00000000">
      <w:pPr>
        <w:rPr>
          <w:rFonts w:ascii="Arial" w:hAnsi="Arial" w:cs="Arial"/>
          <w:sz w:val="20"/>
          <w:szCs w:val="20"/>
        </w:rPr>
      </w:pPr>
      <w:r w:rsidRPr="007D7FA9">
        <w:rPr>
          <w:rFonts w:ascii="Arial" w:hAnsi="Arial" w:cs="Arial"/>
          <w:sz w:val="20"/>
          <w:szCs w:val="20"/>
        </w:rPr>
        <w:t>Can the agent's actions be undone? Sending a Slack message is hard to unsend; deleting a database table is much harder to reverse than writing a draft document. Irreversible actions in high-stakes domains (finance, healthcare, legal) amplify risk considerably. Agents that only draft or recommend — rather than execute — carry inherently lower risk.</w:t>
      </w:r>
    </w:p>
    <w:p w14:paraId="1A236064" w14:textId="77777777" w:rsidR="00E81FB9" w:rsidRPr="007D7FA9" w:rsidRDefault="00000000">
      <w:pPr>
        <w:pStyle w:val="Heading2"/>
        <w:rPr>
          <w:rFonts w:ascii="Arial" w:hAnsi="Arial" w:cs="Arial"/>
          <w:sz w:val="32"/>
          <w:szCs w:val="32"/>
        </w:rPr>
      </w:pPr>
      <w:r w:rsidRPr="007D7FA9">
        <w:rPr>
          <w:rFonts w:ascii="Arial" w:hAnsi="Arial" w:cs="Arial"/>
          <w:sz w:val="32"/>
          <w:szCs w:val="32"/>
        </w:rPr>
        <w:t>4. Task Complexity and Ambiguity</w:t>
      </w:r>
    </w:p>
    <w:p w14:paraId="5A359499" w14:textId="77777777" w:rsidR="00E81FB9" w:rsidRPr="007D7FA9" w:rsidRDefault="00000000">
      <w:pPr>
        <w:rPr>
          <w:rFonts w:ascii="Arial" w:hAnsi="Arial" w:cs="Arial"/>
          <w:sz w:val="20"/>
          <w:szCs w:val="20"/>
        </w:rPr>
      </w:pPr>
      <w:r w:rsidRPr="007D7FA9">
        <w:rPr>
          <w:rFonts w:ascii="Arial" w:hAnsi="Arial" w:cs="Arial"/>
          <w:sz w:val="20"/>
          <w:szCs w:val="20"/>
        </w:rPr>
        <w:t xml:space="preserve">When tasks are well-defined and narrow, agents are more predictable. As tasks become open-ended — "research this topic and take appropriate </w:t>
      </w:r>
      <w:proofErr w:type="gramStart"/>
      <w:r w:rsidRPr="007D7FA9">
        <w:rPr>
          <w:rFonts w:ascii="Arial" w:hAnsi="Arial" w:cs="Arial"/>
          <w:sz w:val="20"/>
          <w:szCs w:val="20"/>
        </w:rPr>
        <w:t>action" —</w:t>
      </w:r>
      <w:proofErr w:type="gramEnd"/>
      <w:r w:rsidRPr="007D7FA9">
        <w:rPr>
          <w:rFonts w:ascii="Arial" w:hAnsi="Arial" w:cs="Arial"/>
          <w:sz w:val="20"/>
          <w:szCs w:val="20"/>
        </w:rPr>
        <w:t xml:space="preserve"> the space for unintended behavior grows. Ambiguous instructions leave room for the agent to interpret goals in ways that diverge from user intent. Clear task boundaries and well-specified success criteria reduce this risk.</w:t>
      </w:r>
    </w:p>
    <w:p w14:paraId="54929B3B" w14:textId="77777777" w:rsidR="00E81FB9" w:rsidRPr="007D7FA9" w:rsidRDefault="00000000">
      <w:pPr>
        <w:pStyle w:val="Heading2"/>
        <w:rPr>
          <w:rFonts w:ascii="Arial" w:hAnsi="Arial" w:cs="Arial"/>
          <w:sz w:val="32"/>
          <w:szCs w:val="32"/>
        </w:rPr>
      </w:pPr>
      <w:r w:rsidRPr="007D7FA9">
        <w:rPr>
          <w:rFonts w:ascii="Arial" w:hAnsi="Arial" w:cs="Arial"/>
          <w:sz w:val="32"/>
          <w:szCs w:val="32"/>
        </w:rPr>
        <w:t>5. Tool and Chain-of-Action Risk</w:t>
      </w:r>
    </w:p>
    <w:p w14:paraId="175A049F" w14:textId="77777777" w:rsidR="00E81FB9" w:rsidRPr="007D7FA9" w:rsidRDefault="00000000">
      <w:pPr>
        <w:rPr>
          <w:rFonts w:ascii="Arial" w:hAnsi="Arial" w:cs="Arial"/>
          <w:sz w:val="20"/>
          <w:szCs w:val="20"/>
        </w:rPr>
      </w:pPr>
      <w:r w:rsidRPr="007D7FA9">
        <w:rPr>
          <w:rFonts w:ascii="Arial" w:hAnsi="Arial" w:cs="Arial"/>
          <w:sz w:val="20"/>
          <w:szCs w:val="20"/>
        </w:rPr>
        <w:t>Multi-step workflows create the danger of compounding errors — a small misinterpretation early on cascades through subsequent steps. The longer the chain without human review, the greater the drift potential. Agents that orchestrate other agents (multi-agent systems) introduce additional coordination risks and make traceability harder.</w:t>
      </w:r>
    </w:p>
    <w:p w14:paraId="73700799" w14:textId="77777777" w:rsidR="00E81FB9" w:rsidRPr="007D7FA9" w:rsidRDefault="00000000">
      <w:pPr>
        <w:pStyle w:val="Heading2"/>
        <w:rPr>
          <w:rFonts w:ascii="Arial" w:hAnsi="Arial" w:cs="Arial"/>
          <w:sz w:val="32"/>
          <w:szCs w:val="32"/>
        </w:rPr>
      </w:pPr>
      <w:r w:rsidRPr="007D7FA9">
        <w:rPr>
          <w:rFonts w:ascii="Arial" w:hAnsi="Arial" w:cs="Arial"/>
          <w:sz w:val="32"/>
          <w:szCs w:val="32"/>
        </w:rPr>
        <w:t>6. Data Sensitivity and Privacy</w:t>
      </w:r>
    </w:p>
    <w:p w14:paraId="2BE06F7F" w14:textId="77777777" w:rsidR="00E81FB9" w:rsidRPr="007D7FA9" w:rsidRDefault="00000000">
      <w:pPr>
        <w:rPr>
          <w:rFonts w:ascii="Arial" w:hAnsi="Arial" w:cs="Arial"/>
          <w:sz w:val="20"/>
          <w:szCs w:val="20"/>
        </w:rPr>
      </w:pPr>
      <w:r w:rsidRPr="007D7FA9">
        <w:rPr>
          <w:rFonts w:ascii="Arial" w:hAnsi="Arial" w:cs="Arial"/>
          <w:sz w:val="20"/>
          <w:szCs w:val="20"/>
        </w:rPr>
        <w:t>What information does the agent process, and could it inadvertently expose sensitive data? Agents handling regulated data (HIPAA, PCI, GDPR-covered information) carry regulatory and reputational risk beyond operational concerns. Data leakage through prompts, logs, or tool calls is a particularly underappreciated vector.</w:t>
      </w:r>
    </w:p>
    <w:p w14:paraId="5C2218CD" w14:textId="77777777" w:rsidR="00E81FB9" w:rsidRPr="007D7FA9" w:rsidRDefault="00000000">
      <w:pPr>
        <w:pStyle w:val="Heading2"/>
        <w:rPr>
          <w:rFonts w:ascii="Arial" w:hAnsi="Arial" w:cs="Arial"/>
          <w:sz w:val="32"/>
          <w:szCs w:val="32"/>
        </w:rPr>
      </w:pPr>
      <w:r w:rsidRPr="007D7FA9">
        <w:rPr>
          <w:rFonts w:ascii="Arial" w:hAnsi="Arial" w:cs="Arial"/>
          <w:sz w:val="32"/>
          <w:szCs w:val="32"/>
        </w:rPr>
        <w:lastRenderedPageBreak/>
        <w:t>7. Transparency and Explainability</w:t>
      </w:r>
    </w:p>
    <w:p w14:paraId="231E5D1F" w14:textId="77777777" w:rsidR="00E81FB9" w:rsidRPr="007D7FA9" w:rsidRDefault="00000000">
      <w:pPr>
        <w:rPr>
          <w:rFonts w:ascii="Arial" w:hAnsi="Arial" w:cs="Arial"/>
          <w:sz w:val="20"/>
          <w:szCs w:val="20"/>
        </w:rPr>
      </w:pPr>
      <w:r w:rsidRPr="007D7FA9">
        <w:rPr>
          <w:rFonts w:ascii="Arial" w:hAnsi="Arial" w:cs="Arial"/>
          <w:sz w:val="20"/>
          <w:szCs w:val="20"/>
        </w:rPr>
        <w:t>How well can you understand what the agent did and why? Black-box decision-making makes it harder to audit, debug, or assign accountability. If you can't trace the agent's reasoning, you can't effectively govern it. Logging, audit trails, and interpretable decision records are critical mitigations.</w:t>
      </w:r>
    </w:p>
    <w:p w14:paraId="5EE73046" w14:textId="77777777" w:rsidR="00E81FB9" w:rsidRPr="007D7FA9" w:rsidRDefault="00000000">
      <w:pPr>
        <w:pStyle w:val="Heading2"/>
        <w:rPr>
          <w:rFonts w:ascii="Arial" w:hAnsi="Arial" w:cs="Arial"/>
          <w:sz w:val="32"/>
          <w:szCs w:val="32"/>
        </w:rPr>
      </w:pPr>
      <w:r w:rsidRPr="007D7FA9">
        <w:rPr>
          <w:rFonts w:ascii="Arial" w:hAnsi="Arial" w:cs="Arial"/>
          <w:sz w:val="32"/>
          <w:szCs w:val="32"/>
        </w:rPr>
        <w:t>8. Reliability and Failure Modes</w:t>
      </w:r>
    </w:p>
    <w:p w14:paraId="6633C83E" w14:textId="77777777" w:rsidR="00E81FB9" w:rsidRPr="007D7FA9" w:rsidRDefault="00000000">
      <w:pPr>
        <w:rPr>
          <w:rFonts w:ascii="Arial" w:hAnsi="Arial" w:cs="Arial"/>
          <w:sz w:val="20"/>
          <w:szCs w:val="20"/>
        </w:rPr>
      </w:pPr>
      <w:r w:rsidRPr="007D7FA9">
        <w:rPr>
          <w:rFonts w:ascii="Arial" w:hAnsi="Arial" w:cs="Arial"/>
          <w:sz w:val="20"/>
          <w:szCs w:val="20"/>
        </w:rPr>
        <w:t>How does the agent behave when things go wrong? Does it fail gracefully, escalate to a human, or press forward with incorrect assumptions? Hallucination, confabulation, and overconfidence in wrong answers are particularly relevant risks. Robust error handling and fallback mechanisms reduce exposure.</w:t>
      </w:r>
    </w:p>
    <w:p w14:paraId="6B95D20E" w14:textId="77777777" w:rsidR="00E81FB9" w:rsidRPr="007D7FA9" w:rsidRDefault="00000000">
      <w:pPr>
        <w:pStyle w:val="Heading2"/>
        <w:rPr>
          <w:rFonts w:ascii="Arial" w:hAnsi="Arial" w:cs="Arial"/>
          <w:sz w:val="32"/>
          <w:szCs w:val="32"/>
        </w:rPr>
      </w:pPr>
      <w:r w:rsidRPr="007D7FA9">
        <w:rPr>
          <w:rFonts w:ascii="Arial" w:hAnsi="Arial" w:cs="Arial"/>
          <w:sz w:val="32"/>
          <w:szCs w:val="32"/>
        </w:rPr>
        <w:t>9. Scale and Blast Radius</w:t>
      </w:r>
    </w:p>
    <w:p w14:paraId="6DA853A0" w14:textId="77777777" w:rsidR="00E81FB9" w:rsidRPr="007D7FA9" w:rsidRDefault="00000000">
      <w:pPr>
        <w:rPr>
          <w:rFonts w:ascii="Arial" w:hAnsi="Arial" w:cs="Arial"/>
          <w:sz w:val="20"/>
          <w:szCs w:val="20"/>
        </w:rPr>
      </w:pPr>
      <w:r w:rsidRPr="007D7FA9">
        <w:rPr>
          <w:rFonts w:ascii="Arial" w:hAnsi="Arial" w:cs="Arial"/>
          <w:sz w:val="20"/>
          <w:szCs w:val="20"/>
        </w:rPr>
        <w:t>What is the potential magnitude of harm? An agent serving one user has a different risk profile than one operating across an enterprise. Automated loops that can execute thousands of actions quickly can amplify a single bad decision into a systemic incident. Rate limiting, batch size controls, and progressive rollout strategies help contain blast radius.</w:t>
      </w:r>
    </w:p>
    <w:p w14:paraId="6D9D1ABB" w14:textId="77777777" w:rsidR="00E81FB9" w:rsidRPr="007D7FA9" w:rsidRDefault="00000000">
      <w:pPr>
        <w:pStyle w:val="Heading2"/>
        <w:rPr>
          <w:rFonts w:ascii="Arial" w:hAnsi="Arial" w:cs="Arial"/>
          <w:sz w:val="32"/>
          <w:szCs w:val="32"/>
        </w:rPr>
      </w:pPr>
      <w:r w:rsidRPr="007D7FA9">
        <w:rPr>
          <w:rFonts w:ascii="Arial" w:hAnsi="Arial" w:cs="Arial"/>
          <w:sz w:val="32"/>
          <w:szCs w:val="32"/>
        </w:rPr>
        <w:t>10. Guardrails and Monitoring Maturity</w:t>
      </w:r>
    </w:p>
    <w:p w14:paraId="3F1770A5" w14:textId="77777777" w:rsidR="00E81FB9" w:rsidRPr="007D7FA9" w:rsidRDefault="00000000">
      <w:pPr>
        <w:rPr>
          <w:rFonts w:ascii="Arial" w:hAnsi="Arial" w:cs="Arial"/>
          <w:sz w:val="20"/>
          <w:szCs w:val="20"/>
        </w:rPr>
      </w:pPr>
      <w:r w:rsidRPr="007D7FA9">
        <w:rPr>
          <w:rFonts w:ascii="Arial" w:hAnsi="Arial" w:cs="Arial"/>
          <w:sz w:val="20"/>
          <w:szCs w:val="20"/>
        </w:rPr>
        <w:t xml:space="preserve">The presence and sophistication of safety controls </w:t>
      </w:r>
      <w:proofErr w:type="gramStart"/>
      <w:r w:rsidRPr="007D7FA9">
        <w:rPr>
          <w:rFonts w:ascii="Arial" w:hAnsi="Arial" w:cs="Arial"/>
          <w:sz w:val="20"/>
          <w:szCs w:val="20"/>
        </w:rPr>
        <w:t>matters</w:t>
      </w:r>
      <w:proofErr w:type="gramEnd"/>
      <w:r w:rsidRPr="007D7FA9">
        <w:rPr>
          <w:rFonts w:ascii="Arial" w:hAnsi="Arial" w:cs="Arial"/>
          <w:sz w:val="20"/>
          <w:szCs w:val="20"/>
        </w:rPr>
        <w:t xml:space="preserve"> as much as the inherent risk of the use case. This includes input/output filtering, behavioral boundaries, real-time anomaly detection, alerting, and incident response readiness. Immature guardrails in a high-risk context compound overall exposure.</w:t>
      </w:r>
    </w:p>
    <w:p w14:paraId="01493566" w14:textId="77777777" w:rsidR="00E81FB9" w:rsidRPr="007D7FA9" w:rsidRDefault="00000000">
      <w:pPr>
        <w:pStyle w:val="Heading2"/>
        <w:rPr>
          <w:rFonts w:ascii="Arial" w:hAnsi="Arial" w:cs="Arial"/>
          <w:sz w:val="32"/>
          <w:szCs w:val="32"/>
        </w:rPr>
      </w:pPr>
      <w:r w:rsidRPr="007D7FA9">
        <w:rPr>
          <w:rFonts w:ascii="Arial" w:hAnsi="Arial" w:cs="Arial"/>
          <w:sz w:val="32"/>
          <w:szCs w:val="32"/>
        </w:rPr>
        <w:t>11. Vendor and Model Dependency</w:t>
      </w:r>
    </w:p>
    <w:p w14:paraId="70923A28" w14:textId="77777777" w:rsidR="00E81FB9" w:rsidRPr="007D7FA9" w:rsidRDefault="00000000">
      <w:pPr>
        <w:rPr>
          <w:rFonts w:ascii="Arial" w:hAnsi="Arial" w:cs="Arial"/>
          <w:sz w:val="20"/>
          <w:szCs w:val="20"/>
        </w:rPr>
      </w:pPr>
      <w:r w:rsidRPr="007D7FA9">
        <w:rPr>
          <w:rFonts w:ascii="Arial" w:hAnsi="Arial" w:cs="Arial"/>
          <w:sz w:val="20"/>
          <w:szCs w:val="20"/>
        </w:rPr>
        <w:t>Reliance on third-party models introduces supply-chain risk. Model behavior can change after updates, fine-tuning, or provider policy changes — sometimes in subtle ways that break downstream workflows. Version pinning, regression testing, and contingency plans for model unavailability are important considerations.</w:t>
      </w:r>
    </w:p>
    <w:p w14:paraId="34CE01E6" w14:textId="77777777" w:rsidR="00E81FB9" w:rsidRPr="007D7FA9" w:rsidRDefault="00000000">
      <w:pPr>
        <w:pStyle w:val="Heading2"/>
        <w:rPr>
          <w:rFonts w:ascii="Arial" w:hAnsi="Arial" w:cs="Arial"/>
          <w:sz w:val="32"/>
          <w:szCs w:val="32"/>
        </w:rPr>
      </w:pPr>
      <w:r w:rsidRPr="007D7FA9">
        <w:rPr>
          <w:rFonts w:ascii="Arial" w:hAnsi="Arial" w:cs="Arial"/>
          <w:sz w:val="32"/>
          <w:szCs w:val="32"/>
        </w:rPr>
        <w:t>12. Regulatory and Compliance Context</w:t>
      </w:r>
    </w:p>
    <w:p w14:paraId="5E2BB330" w14:textId="77777777" w:rsidR="00E81FB9" w:rsidRPr="007D7FA9" w:rsidRDefault="00000000">
      <w:pPr>
        <w:rPr>
          <w:rFonts w:ascii="Arial" w:hAnsi="Arial" w:cs="Arial"/>
          <w:sz w:val="20"/>
          <w:szCs w:val="20"/>
        </w:rPr>
      </w:pPr>
      <w:r w:rsidRPr="007D7FA9">
        <w:rPr>
          <w:rFonts w:ascii="Arial" w:hAnsi="Arial" w:cs="Arial"/>
          <w:sz w:val="20"/>
          <w:szCs w:val="20"/>
        </w:rPr>
        <w:t>The regulatory environment in which the agent operates shapes both the stakes of failure and the obligations around governance. Agents used in regulated industries (banking, healthcare, insurance) or in jurisdictions with AI-specific legislation (EU AI Act, state-level AI laws) face additional requirements around transparency, fairness, and accountability.</w:t>
      </w:r>
    </w:p>
    <w:sectPr w:rsidR="00E81FB9" w:rsidRPr="007D7FA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1FB9"/>
    <w:rsid w:val="0010607F"/>
    <w:rsid w:val="001E1E7B"/>
    <w:rsid w:val="0066149A"/>
    <w:rsid w:val="007D7FA9"/>
    <w:rsid w:val="00AA7856"/>
    <w:rsid w:val="00E81FB9"/>
    <w:rsid w:val="00ED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29C6"/>
  <w15:docId w15:val="{4D947A46-F70C-4496-92F3-8F2644F2D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808119-7214-4ba1-b38f-b3a728e8161f">
      <Terms xmlns="http://schemas.microsoft.com/office/infopath/2007/PartnerControls"/>
    </lcf76f155ced4ddcb4097134ff3c332f>
    <TaxCatchAll xmlns="32e8ffed-4117-4466-ae37-f176c04a39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DB0C7C118FB6489E9DBD6E6E050E92" ma:contentTypeVersion="11" ma:contentTypeDescription="Create a new document." ma:contentTypeScope="" ma:versionID="87310903e578f7c6005a1c118dcad3bf">
  <xsd:schema xmlns:xsd="http://www.w3.org/2001/XMLSchema" xmlns:xs="http://www.w3.org/2001/XMLSchema" xmlns:p="http://schemas.microsoft.com/office/2006/metadata/properties" xmlns:ns2="ab808119-7214-4ba1-b38f-b3a728e8161f" xmlns:ns3="32e8ffed-4117-4466-ae37-f176c04a3952" targetNamespace="http://schemas.microsoft.com/office/2006/metadata/properties" ma:root="true" ma:fieldsID="327462abf178bf4622cf861c5db4ced7" ns2:_="" ns3:_="">
    <xsd:import namespace="ab808119-7214-4ba1-b38f-b3a728e8161f"/>
    <xsd:import namespace="32e8ffed-4117-4466-ae37-f176c04a39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08119-7214-4ba1-b38f-b3a728e81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fcb9cf-98c1-43c5-bc56-591c5a4f16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e8ffed-4117-4466-ae37-f176c04a39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a51ac9-724b-4c82-8ae1-c250115c7362}" ma:internalName="TaxCatchAll" ma:showField="CatchAllData" ma:web="32e8ffed-4117-4466-ae37-f176c04a39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FDBFE1-EFA6-4F98-A17B-21CF485A1579}">
  <ds:schemaRefs>
    <ds:schemaRef ds:uri="http://schemas.microsoft.com/office/2006/metadata/properties"/>
    <ds:schemaRef ds:uri="http://schemas.microsoft.com/office/infopath/2007/PartnerControls"/>
    <ds:schemaRef ds:uri="ab808119-7214-4ba1-b38f-b3a728e8161f"/>
    <ds:schemaRef ds:uri="32e8ffed-4117-4466-ae37-f176c04a3952"/>
  </ds:schemaRefs>
</ds:datastoreItem>
</file>

<file path=customXml/itemProps2.xml><?xml version="1.0" encoding="utf-8"?>
<ds:datastoreItem xmlns:ds="http://schemas.openxmlformats.org/officeDocument/2006/customXml" ds:itemID="{49064163-9582-4CCA-AED1-0063ADA0E700}">
  <ds:schemaRefs>
    <ds:schemaRef ds:uri="http://schemas.microsoft.com/sharepoint/v3/contenttype/forms"/>
  </ds:schemaRefs>
</ds:datastoreItem>
</file>

<file path=customXml/itemProps3.xml><?xml version="1.0" encoding="utf-8"?>
<ds:datastoreItem xmlns:ds="http://schemas.openxmlformats.org/officeDocument/2006/customXml" ds:itemID="{74A3C9FE-04C5-4AC6-9578-9B3054AB1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08119-7214-4ba1-b38f-b3a728e8161f"/>
    <ds:schemaRef ds:uri="32e8ffed-4117-4466-ae37-f176c04a3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650</Words>
  <Characters>3920</Characters>
  <Application>Microsoft Office Word</Application>
  <DocSecurity>0</DocSecurity>
  <Lines>58</Lines>
  <Paragraphs>29</Paragraphs>
  <ScaleCrop>false</ScaleCrop>
  <HeadingPairs>
    <vt:vector size="2" baseType="variant">
      <vt:variant>
        <vt:lpstr>Title</vt:lpstr>
      </vt:variant>
      <vt:variant>
        <vt:i4>1</vt:i4>
      </vt:variant>
    </vt:vector>
  </HeadingPairs>
  <TitlesOfParts>
    <vt:vector size="1" baseType="lpstr">
      <vt:lpstr/>
    </vt:vector>
  </TitlesOfParts>
  <Company>First Hawaiian Bank</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jjaworski@fhb.com</dc:creator>
  <cp:keywords>html-to-docx</cp:keywords>
  <dc:description/>
  <cp:lastModifiedBy>James Jaworski</cp:lastModifiedBy>
  <cp:revision>5</cp:revision>
  <dcterms:created xsi:type="dcterms:W3CDTF">2026-04-07T17:38:00Z</dcterms:created>
  <dcterms:modified xsi:type="dcterms:W3CDTF">2026-08-05T17:58:00Z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0007ebb-9145-441f-beb7-bb99dc7069af_Enabled">
    <vt:lpwstr>true</vt:lpwstr>
  </property>
  <property fmtid="{D5CDD505-2E9C-101B-9397-08002B2CF9AE}" pid="3" name="MSIP_Label_60007ebb-9145-441f-beb7-bb99dc7069af_SetDate">
    <vt:lpwstr>2026-04-07T17:40:19Z</vt:lpwstr>
  </property>
  <property fmtid="{D5CDD505-2E9C-101B-9397-08002B2CF9AE}" pid="4" name="MSIP_Label_60007ebb-9145-441f-beb7-bb99dc7069af_Method">
    <vt:lpwstr>Standard</vt:lpwstr>
  </property>
  <property fmtid="{D5CDD505-2E9C-101B-9397-08002B2CF9AE}" pid="5" name="MSIP_Label_60007ebb-9145-441f-beb7-bb99dc7069af_Name">
    <vt:lpwstr>FHB - General - Internal Use</vt:lpwstr>
  </property>
  <property fmtid="{D5CDD505-2E9C-101B-9397-08002B2CF9AE}" pid="6" name="MSIP_Label_60007ebb-9145-441f-beb7-bb99dc7069af_SiteId">
    <vt:lpwstr>655b87d9-3c99-411d-b4f5-ea57117f33a7</vt:lpwstr>
  </property>
  <property fmtid="{D5CDD505-2E9C-101B-9397-08002B2CF9AE}" pid="7" name="MSIP_Label_60007ebb-9145-441f-beb7-bb99dc7069af_ActionId">
    <vt:lpwstr>0cc95c7e-0e97-4f13-8905-e2a5215c11d5</vt:lpwstr>
  </property>
  <property fmtid="{D5CDD505-2E9C-101B-9397-08002B2CF9AE}" pid="8" name="MSIP_Label_60007ebb-9145-441f-beb7-bb99dc7069af_ContentBits">
    <vt:lpwstr>0</vt:lpwstr>
  </property>
  <property fmtid="{D5CDD505-2E9C-101B-9397-08002B2CF9AE}" pid="9" name="MSIP_Label_60007ebb-9145-441f-beb7-bb99dc7069af_Tag">
    <vt:lpwstr>10, 3, 0, 1</vt:lpwstr>
  </property>
  <property fmtid="{D5CDD505-2E9C-101B-9397-08002B2CF9AE}" pid="10" name="ContentTypeId">
    <vt:lpwstr>0x0101008DDB0C7C118FB6489E9DBD6E6E050E92</vt:lpwstr>
  </property>
  <property fmtid="{D5CDD505-2E9C-101B-9397-08002B2CF9AE}" pid="11" name="docLang">
    <vt:lpwstr>en</vt:lpwstr>
  </property>
  <property fmtid="{D5CDD505-2E9C-101B-9397-08002B2CF9AE}" pid="12" name="MediaServiceImageTags">
    <vt:lpwstr/>
  </property>
</Properties>
</file>