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66669" w14:textId="77777777" w:rsidR="007F282D" w:rsidRDefault="00D416FE">
      <w:pPr>
        <w:spacing w:after="80"/>
      </w:pPr>
      <w:r>
        <w:rPr>
          <w:b/>
          <w:bCs/>
          <w:color w:val="1F3864"/>
          <w:sz w:val="40"/>
          <w:szCs w:val="40"/>
        </w:rPr>
        <w:t>RouteOne Technology Review</w:t>
      </w:r>
    </w:p>
    <w:p w14:paraId="46138E67" w14:textId="77777777" w:rsidR="007F282D" w:rsidRDefault="00D416FE">
      <w:pPr>
        <w:spacing w:after="60"/>
      </w:pPr>
      <w:r>
        <w:rPr>
          <w:color w:val="444444"/>
          <w:sz w:val="24"/>
          <w:szCs w:val="24"/>
        </w:rPr>
        <w:t>Status Summary — August 4, 2026</w:t>
      </w:r>
    </w:p>
    <w:p w14:paraId="774AF176" w14:textId="77777777" w:rsidR="007F282D" w:rsidRDefault="00D416FE">
      <w:pPr>
        <w:spacing w:after="60"/>
      </w:pPr>
      <w:r>
        <w:rPr>
          <w:b/>
          <w:bCs/>
        </w:rPr>
        <w:t xml:space="preserve">Questionnaire ID: </w:t>
      </w:r>
      <w:r>
        <w:t xml:space="preserve">1335134   </w:t>
      </w:r>
      <w:r>
        <w:rPr>
          <w:b/>
          <w:bCs/>
        </w:rPr>
        <w:t xml:space="preserve">Status: </w:t>
      </w:r>
      <w:r>
        <w:rPr>
          <w:color w:val="C00000"/>
        </w:rPr>
        <w:t xml:space="preserve">Pending Review by Cyber Architecture   </w:t>
      </w:r>
      <w:r>
        <w:rPr>
          <w:b/>
          <w:bCs/>
        </w:rPr>
        <w:t xml:space="preserve">Engagement Manager: </w:t>
      </w:r>
      <w:r>
        <w:t>Mike Dulaney (Dealer Division)</w:t>
      </w:r>
    </w:p>
    <w:p w14:paraId="111E393A" w14:textId="77777777" w:rsidR="007F282D" w:rsidRDefault="00D416FE">
      <w:pPr>
        <w:spacing w:after="200"/>
      </w:pPr>
      <w:r>
        <w:rPr>
          <w:b/>
          <w:bCs/>
        </w:rPr>
        <w:t xml:space="preserve">Third Party: </w:t>
      </w:r>
      <w:r>
        <w:t xml:space="preserve">RouteOne LLC   </w:t>
      </w:r>
      <w:r>
        <w:rPr>
          <w:b/>
          <w:bCs/>
        </w:rPr>
        <w:t xml:space="preserve">Assessment Type: </w:t>
      </w:r>
      <w:r>
        <w:t>Onboarding</w:t>
      </w:r>
    </w:p>
    <w:p w14:paraId="4F861533" w14:textId="77777777" w:rsidR="007F282D" w:rsidRDefault="007F282D">
      <w:pPr>
        <w:pBdr>
          <w:bottom w:val="single" w:sz="6" w:space="1" w:color="CCCCCC"/>
        </w:pBdr>
        <w:spacing w:before="100" w:after="100"/>
      </w:pPr>
    </w:p>
    <w:p w14:paraId="65E82908" w14:textId="77777777" w:rsidR="007F282D" w:rsidRDefault="00D416FE">
      <w:pPr>
        <w:pStyle w:val="Heading1"/>
        <w:spacing w:before="300" w:after="120"/>
      </w:pPr>
      <w:r>
        <w:t>Engagement Overview</w:t>
      </w:r>
    </w:p>
    <w:p w14:paraId="167AFA24" w14:textId="77777777" w:rsidR="007F282D" w:rsidRDefault="00D416FE">
      <w:pPr>
        <w:spacing w:after="80"/>
      </w:pPr>
      <w:r>
        <w:rPr>
          <w:sz w:val="22"/>
          <w:szCs w:val="22"/>
        </w:rPr>
        <w:t xml:space="preserve">RouteOne is an electronic portal that enables auto dealerships to submit credit applications and e-signed contracts electronically to </w:t>
      </w:r>
      <w:proofErr w:type="spellStart"/>
      <w:r>
        <w:rPr>
          <w:sz w:val="22"/>
          <w:szCs w:val="22"/>
        </w:rPr>
        <w:t>MeridianLink</w:t>
      </w:r>
      <w:proofErr w:type="spellEnd"/>
      <w:r>
        <w:rPr>
          <w:sz w:val="22"/>
          <w:szCs w:val="22"/>
        </w:rPr>
        <w:t>/</w:t>
      </w:r>
      <w:proofErr w:type="spellStart"/>
      <w:r>
        <w:rPr>
          <w:sz w:val="22"/>
          <w:szCs w:val="22"/>
        </w:rPr>
        <w:t>LoansPQ</w:t>
      </w:r>
      <w:proofErr w:type="spellEnd"/>
      <w:r>
        <w:rPr>
          <w:sz w:val="22"/>
          <w:szCs w:val="22"/>
        </w:rPr>
        <w:t>, where First Hawaiian Bank reviews, decisions, and funds them. RouteOne is not a new technology category for FHB — an analogous service, DealerTrack, has operated under the same architectural pattern for over 15 years. RouteOne is being added to accommodate dealers who prefer it, as more banks and dealers have adopted it in recent years.</w:t>
      </w:r>
    </w:p>
    <w:p w14:paraId="06DAEF94" w14:textId="77777777" w:rsidR="007F282D" w:rsidRDefault="00D416FE">
      <w:pPr>
        <w:spacing w:before="80" w:after="80"/>
      </w:pPr>
      <w:r>
        <w:rPr>
          <w:b/>
          <w:bCs/>
          <w:sz w:val="22"/>
          <w:szCs w:val="22"/>
        </w:rPr>
        <w:t xml:space="preserve">Data flow:  </w:t>
      </w:r>
      <w:r>
        <w:rPr>
          <w:sz w:val="22"/>
          <w:szCs w:val="22"/>
        </w:rPr>
        <w:t xml:space="preserve">Dealer (RouteOne) → </w:t>
      </w:r>
      <w:proofErr w:type="spellStart"/>
      <w:r>
        <w:rPr>
          <w:sz w:val="22"/>
          <w:szCs w:val="22"/>
        </w:rPr>
        <w:t>MeridianLink</w:t>
      </w:r>
      <w:proofErr w:type="spellEnd"/>
      <w:r>
        <w:rPr>
          <w:sz w:val="22"/>
          <w:szCs w:val="22"/>
        </w:rPr>
        <w:t>/</w:t>
      </w:r>
      <w:proofErr w:type="spellStart"/>
      <w:r>
        <w:rPr>
          <w:sz w:val="22"/>
          <w:szCs w:val="22"/>
        </w:rPr>
        <w:t>LoansPQ</w:t>
      </w:r>
      <w:proofErr w:type="spellEnd"/>
      <w:r>
        <w:rPr>
          <w:sz w:val="22"/>
          <w:szCs w:val="22"/>
        </w:rPr>
        <w:t xml:space="preserve"> → FHB review and decision → </w:t>
      </w:r>
      <w:proofErr w:type="spellStart"/>
      <w:r>
        <w:rPr>
          <w:sz w:val="22"/>
          <w:szCs w:val="22"/>
        </w:rPr>
        <w:t>MeridianLink</w:t>
      </w:r>
      <w:proofErr w:type="spellEnd"/>
      <w:r>
        <w:rPr>
          <w:sz w:val="22"/>
          <w:szCs w:val="22"/>
        </w:rPr>
        <w:t>/</w:t>
      </w:r>
      <w:proofErr w:type="spellStart"/>
      <w:r>
        <w:rPr>
          <w:sz w:val="22"/>
          <w:szCs w:val="22"/>
        </w:rPr>
        <w:t>LoansPQ</w:t>
      </w:r>
      <w:proofErr w:type="spellEnd"/>
      <w:r>
        <w:rPr>
          <w:sz w:val="22"/>
          <w:szCs w:val="22"/>
        </w:rPr>
        <w:t xml:space="preserve"> → RouteOne → Dealer</w:t>
      </w:r>
    </w:p>
    <w:p w14:paraId="1825B298" w14:textId="77777777" w:rsidR="007F282D" w:rsidRDefault="00D416FE">
      <w:pPr>
        <w:spacing w:after="80"/>
      </w:pPr>
      <w:r>
        <w:rPr>
          <w:sz w:val="22"/>
          <w:szCs w:val="22"/>
        </w:rPr>
        <w:t xml:space="preserve">FHB does not interact with RouteOne directly. All review, decisioning, and funding activity occurs within </w:t>
      </w:r>
      <w:proofErr w:type="spellStart"/>
      <w:r>
        <w:rPr>
          <w:sz w:val="22"/>
          <w:szCs w:val="22"/>
        </w:rPr>
        <w:t>LoansPQ</w:t>
      </w:r>
      <w:proofErr w:type="spellEnd"/>
      <w:r>
        <w:rPr>
          <w:sz w:val="22"/>
          <w:szCs w:val="22"/>
        </w:rPr>
        <w:t>. Customer PII — including name, address, SSN, and financial information — passes through RouteOne in transit as dealers submit applications. FHB returns only limited data: applicant name, application number, collateral description, and the credit decision.</w:t>
      </w:r>
    </w:p>
    <w:p w14:paraId="7941430A" w14:textId="77777777" w:rsidR="007F282D" w:rsidRDefault="00D416FE">
      <w:pPr>
        <w:pStyle w:val="Heading1"/>
        <w:spacing w:before="300" w:after="120"/>
      </w:pPr>
      <w:r>
        <w:t>Technology Inherent Risk Assessment</w:t>
      </w:r>
    </w:p>
    <w:p w14:paraId="57B5BDF5" w14:textId="77777777" w:rsidR="007F282D" w:rsidRDefault="007F282D">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000"/>
      </w:tblGrid>
      <w:tr w:rsidR="007F282D" w14:paraId="25B38ED9" w14:textId="77777777">
        <w:trPr>
          <w:tblHeader/>
        </w:trPr>
        <w:tc>
          <w:tcPr>
            <w:tcW w:w="1200" w:type="dxa"/>
            <w:shd w:val="clear" w:color="auto" w:fill="1F3864"/>
            <w:tcMar>
              <w:top w:w="80" w:type="dxa"/>
              <w:left w:w="100" w:type="dxa"/>
              <w:bottom w:w="80" w:type="dxa"/>
              <w:right w:w="100" w:type="dxa"/>
            </w:tcMar>
            <w:vAlign w:val="center"/>
          </w:tcPr>
          <w:p w14:paraId="72454C6C" w14:textId="77777777" w:rsidR="007F282D" w:rsidRDefault="00D416FE">
            <w:pPr>
              <w:spacing w:before="60" w:after="60"/>
            </w:pPr>
            <w:r>
              <w:rPr>
                <w:b/>
                <w:bCs/>
                <w:color w:val="FFFFFF"/>
              </w:rPr>
              <w:t>Question ID</w:t>
            </w:r>
          </w:p>
        </w:tc>
        <w:tc>
          <w:tcPr>
            <w:tcW w:w="2800" w:type="dxa"/>
            <w:shd w:val="clear" w:color="auto" w:fill="1F3864"/>
            <w:tcMar>
              <w:top w:w="80" w:type="dxa"/>
              <w:left w:w="100" w:type="dxa"/>
              <w:bottom w:w="80" w:type="dxa"/>
              <w:right w:w="100" w:type="dxa"/>
            </w:tcMar>
            <w:vAlign w:val="center"/>
          </w:tcPr>
          <w:p w14:paraId="6791C511" w14:textId="77777777" w:rsidR="007F282D" w:rsidRDefault="00D416FE">
            <w:pPr>
              <w:spacing w:before="60" w:after="60"/>
            </w:pPr>
            <w:r>
              <w:rPr>
                <w:b/>
                <w:bCs/>
                <w:color w:val="FFFFFF"/>
              </w:rPr>
              <w:t>Question</w:t>
            </w:r>
          </w:p>
        </w:tc>
        <w:tc>
          <w:tcPr>
            <w:tcW w:w="5000" w:type="dxa"/>
            <w:shd w:val="clear" w:color="auto" w:fill="1F3864"/>
            <w:tcMar>
              <w:top w:w="80" w:type="dxa"/>
              <w:left w:w="100" w:type="dxa"/>
              <w:bottom w:w="80" w:type="dxa"/>
              <w:right w:w="100" w:type="dxa"/>
            </w:tcMar>
            <w:vAlign w:val="center"/>
          </w:tcPr>
          <w:p w14:paraId="5E420480" w14:textId="77777777" w:rsidR="007F282D" w:rsidRDefault="00D416FE">
            <w:pPr>
              <w:spacing w:before="60" w:after="60"/>
            </w:pPr>
            <w:r>
              <w:rPr>
                <w:b/>
                <w:bCs/>
                <w:color w:val="FFFFFF"/>
              </w:rPr>
              <w:t>Answer / Determination</w:t>
            </w:r>
          </w:p>
        </w:tc>
      </w:tr>
      <w:tr w:rsidR="007F282D" w14:paraId="62739EDE" w14:textId="77777777">
        <w:tc>
          <w:tcPr>
            <w:tcW w:w="1200" w:type="dxa"/>
            <w:shd w:val="clear" w:color="auto" w:fill="F2F2F2"/>
            <w:tcMar>
              <w:top w:w="80" w:type="dxa"/>
              <w:left w:w="100" w:type="dxa"/>
              <w:bottom w:w="80" w:type="dxa"/>
              <w:right w:w="100" w:type="dxa"/>
            </w:tcMar>
            <w:vAlign w:val="center"/>
          </w:tcPr>
          <w:p w14:paraId="747BE755" w14:textId="77777777" w:rsidR="007F282D" w:rsidRDefault="00D416FE">
            <w:pPr>
              <w:spacing w:before="60" w:after="60"/>
            </w:pPr>
            <w:r>
              <w:rPr>
                <w:b/>
                <w:bCs/>
                <w:color w:val="000000"/>
              </w:rPr>
              <w:t>T-IR-0001</w:t>
            </w:r>
          </w:p>
        </w:tc>
        <w:tc>
          <w:tcPr>
            <w:tcW w:w="2800" w:type="dxa"/>
            <w:shd w:val="clear" w:color="auto" w:fill="F2F2F2"/>
            <w:tcMar>
              <w:top w:w="80" w:type="dxa"/>
              <w:left w:w="100" w:type="dxa"/>
              <w:bottom w:w="80" w:type="dxa"/>
              <w:right w:w="100" w:type="dxa"/>
            </w:tcMar>
            <w:vAlign w:val="center"/>
          </w:tcPr>
          <w:p w14:paraId="5066932D" w14:textId="77777777" w:rsidR="007F282D" w:rsidRDefault="00D416FE">
            <w:pPr>
              <w:spacing w:before="60" w:after="60"/>
            </w:pPr>
            <w:r>
              <w:rPr>
                <w:color w:val="000000"/>
              </w:rPr>
              <w:t>Type of technology product/service</w:t>
            </w:r>
          </w:p>
        </w:tc>
        <w:tc>
          <w:tcPr>
            <w:tcW w:w="5000" w:type="dxa"/>
            <w:shd w:val="clear" w:color="auto" w:fill="F2F2F2"/>
            <w:tcMar>
              <w:top w:w="80" w:type="dxa"/>
              <w:left w:w="100" w:type="dxa"/>
              <w:bottom w:w="80" w:type="dxa"/>
              <w:right w:w="100" w:type="dxa"/>
            </w:tcMar>
            <w:vAlign w:val="center"/>
          </w:tcPr>
          <w:p w14:paraId="0A290363" w14:textId="77777777" w:rsidR="007F282D" w:rsidRDefault="00D416FE">
            <w:pPr>
              <w:spacing w:before="60" w:after="60"/>
            </w:pPr>
            <w:r>
              <w:rPr>
                <w:color w:val="000000"/>
              </w:rPr>
              <w:t xml:space="preserve">Electronic application portal — RouteOne receives credit applications and e-signed contracts from dealers and forwards to </w:t>
            </w:r>
            <w:proofErr w:type="spellStart"/>
            <w:r>
              <w:rPr>
                <w:color w:val="000000"/>
              </w:rPr>
              <w:t>MeridianLink</w:t>
            </w:r>
            <w:proofErr w:type="spellEnd"/>
            <w:r>
              <w:rPr>
                <w:color w:val="000000"/>
              </w:rPr>
              <w:t>/</w:t>
            </w:r>
            <w:proofErr w:type="spellStart"/>
            <w:r>
              <w:rPr>
                <w:color w:val="000000"/>
              </w:rPr>
              <w:t>LoansPQ</w:t>
            </w:r>
            <w:proofErr w:type="spellEnd"/>
          </w:p>
        </w:tc>
      </w:tr>
      <w:tr w:rsidR="007F282D" w14:paraId="59B61734" w14:textId="77777777">
        <w:tc>
          <w:tcPr>
            <w:tcW w:w="1200" w:type="dxa"/>
            <w:shd w:val="clear" w:color="auto" w:fill="FFFFFF"/>
            <w:tcMar>
              <w:top w:w="80" w:type="dxa"/>
              <w:left w:w="100" w:type="dxa"/>
              <w:bottom w:w="80" w:type="dxa"/>
              <w:right w:w="100" w:type="dxa"/>
            </w:tcMar>
            <w:vAlign w:val="center"/>
          </w:tcPr>
          <w:p w14:paraId="08A28371" w14:textId="77777777" w:rsidR="007F282D" w:rsidRDefault="00D416FE">
            <w:pPr>
              <w:spacing w:before="60" w:after="60"/>
            </w:pPr>
            <w:r>
              <w:rPr>
                <w:b/>
                <w:bCs/>
                <w:color w:val="000000"/>
              </w:rPr>
              <w:t>T-IR-0002</w:t>
            </w:r>
          </w:p>
        </w:tc>
        <w:tc>
          <w:tcPr>
            <w:tcW w:w="2800" w:type="dxa"/>
            <w:shd w:val="clear" w:color="auto" w:fill="FFFFFF"/>
            <w:tcMar>
              <w:top w:w="80" w:type="dxa"/>
              <w:left w:w="100" w:type="dxa"/>
              <w:bottom w:w="80" w:type="dxa"/>
              <w:right w:w="100" w:type="dxa"/>
            </w:tcMar>
            <w:vAlign w:val="center"/>
          </w:tcPr>
          <w:p w14:paraId="5D9942E4" w14:textId="77777777" w:rsidR="007F282D" w:rsidRDefault="00D416FE">
            <w:pPr>
              <w:spacing w:before="60" w:after="60"/>
            </w:pPr>
            <w:r>
              <w:rPr>
                <w:color w:val="000000"/>
              </w:rPr>
              <w:t>User interaction</w:t>
            </w:r>
          </w:p>
        </w:tc>
        <w:tc>
          <w:tcPr>
            <w:tcW w:w="5000" w:type="dxa"/>
            <w:shd w:val="clear" w:color="auto" w:fill="FFFFFF"/>
            <w:tcMar>
              <w:top w:w="80" w:type="dxa"/>
              <w:left w:w="100" w:type="dxa"/>
              <w:bottom w:w="80" w:type="dxa"/>
              <w:right w:w="100" w:type="dxa"/>
            </w:tcMar>
            <w:vAlign w:val="center"/>
          </w:tcPr>
          <w:p w14:paraId="5BA8118C" w14:textId="77777777" w:rsidR="007F282D" w:rsidRDefault="00D416FE">
            <w:pPr>
              <w:spacing w:before="60" w:after="60"/>
            </w:pPr>
            <w:r>
              <w:rPr>
                <w:color w:val="000000"/>
              </w:rPr>
              <w:t xml:space="preserve">Internal (FHB employees via </w:t>
            </w:r>
            <w:proofErr w:type="spellStart"/>
            <w:r>
              <w:rPr>
                <w:color w:val="000000"/>
              </w:rPr>
              <w:t>LoansPQ</w:t>
            </w:r>
            <w:proofErr w:type="spellEnd"/>
            <w:r>
              <w:rPr>
                <w:color w:val="000000"/>
              </w:rPr>
              <w:t>) and external (third-party dealers)</w:t>
            </w:r>
          </w:p>
        </w:tc>
      </w:tr>
      <w:tr w:rsidR="007F282D" w14:paraId="5ECC29BC" w14:textId="77777777">
        <w:tc>
          <w:tcPr>
            <w:tcW w:w="1200" w:type="dxa"/>
            <w:shd w:val="clear" w:color="auto" w:fill="F2F2F2"/>
            <w:tcMar>
              <w:top w:w="80" w:type="dxa"/>
              <w:left w:w="100" w:type="dxa"/>
              <w:bottom w:w="80" w:type="dxa"/>
              <w:right w:w="100" w:type="dxa"/>
            </w:tcMar>
            <w:vAlign w:val="center"/>
          </w:tcPr>
          <w:p w14:paraId="39A4FC95" w14:textId="77777777" w:rsidR="007F282D" w:rsidRDefault="00D416FE">
            <w:pPr>
              <w:spacing w:before="60" w:after="60"/>
            </w:pPr>
            <w:r>
              <w:rPr>
                <w:b/>
                <w:bCs/>
                <w:color w:val="000000"/>
              </w:rPr>
              <w:t>T-IR-0003</w:t>
            </w:r>
          </w:p>
        </w:tc>
        <w:tc>
          <w:tcPr>
            <w:tcW w:w="2800" w:type="dxa"/>
            <w:shd w:val="clear" w:color="auto" w:fill="F2F2F2"/>
            <w:tcMar>
              <w:top w:w="80" w:type="dxa"/>
              <w:left w:w="100" w:type="dxa"/>
              <w:bottom w:w="80" w:type="dxa"/>
              <w:right w:w="100" w:type="dxa"/>
            </w:tcMar>
            <w:vAlign w:val="center"/>
          </w:tcPr>
          <w:p w14:paraId="097AC00A" w14:textId="77777777" w:rsidR="007F282D" w:rsidRDefault="00D416FE">
            <w:pPr>
              <w:spacing w:before="60" w:after="60"/>
            </w:pPr>
            <w:r>
              <w:rPr>
                <w:color w:val="000000"/>
              </w:rPr>
              <w:t>Business impact if failed</w:t>
            </w:r>
          </w:p>
        </w:tc>
        <w:tc>
          <w:tcPr>
            <w:tcW w:w="5000" w:type="dxa"/>
            <w:shd w:val="clear" w:color="auto" w:fill="F2F2F2"/>
            <w:tcMar>
              <w:top w:w="80" w:type="dxa"/>
              <w:left w:w="100" w:type="dxa"/>
              <w:bottom w:w="80" w:type="dxa"/>
              <w:right w:w="100" w:type="dxa"/>
            </w:tcMar>
            <w:vAlign w:val="center"/>
          </w:tcPr>
          <w:p w14:paraId="4526064A" w14:textId="77777777" w:rsidR="007F282D" w:rsidRDefault="00D416FE">
            <w:pPr>
              <w:spacing w:before="60" w:after="60"/>
            </w:pPr>
            <w:r>
              <w:rPr>
                <w:color w:val="000000"/>
              </w:rPr>
              <w:t>Minimal — DealerTrack remains the primary channel; workarounds exist</w:t>
            </w:r>
          </w:p>
        </w:tc>
      </w:tr>
      <w:tr w:rsidR="007F282D" w14:paraId="7F517DF9" w14:textId="77777777">
        <w:tc>
          <w:tcPr>
            <w:tcW w:w="1200" w:type="dxa"/>
            <w:shd w:val="clear" w:color="auto" w:fill="FFFFFF"/>
            <w:tcMar>
              <w:top w:w="80" w:type="dxa"/>
              <w:left w:w="100" w:type="dxa"/>
              <w:bottom w:w="80" w:type="dxa"/>
              <w:right w:w="100" w:type="dxa"/>
            </w:tcMar>
            <w:vAlign w:val="center"/>
          </w:tcPr>
          <w:p w14:paraId="5969FDDE" w14:textId="77777777" w:rsidR="007F282D" w:rsidRDefault="00D416FE">
            <w:pPr>
              <w:spacing w:before="60" w:after="60"/>
            </w:pPr>
            <w:r>
              <w:rPr>
                <w:b/>
                <w:bCs/>
                <w:color w:val="000000"/>
              </w:rPr>
              <w:t>T-IR-0004</w:t>
            </w:r>
          </w:p>
        </w:tc>
        <w:tc>
          <w:tcPr>
            <w:tcW w:w="2800" w:type="dxa"/>
            <w:shd w:val="clear" w:color="auto" w:fill="FFFFFF"/>
            <w:tcMar>
              <w:top w:w="80" w:type="dxa"/>
              <w:left w:w="100" w:type="dxa"/>
              <w:bottom w:w="80" w:type="dxa"/>
              <w:right w:w="100" w:type="dxa"/>
            </w:tcMar>
            <w:vAlign w:val="center"/>
          </w:tcPr>
          <w:p w14:paraId="523D0F0E" w14:textId="77777777" w:rsidR="007F282D" w:rsidRDefault="00D416FE">
            <w:pPr>
              <w:spacing w:before="60" w:after="60"/>
            </w:pPr>
            <w:r>
              <w:rPr>
                <w:color w:val="000000"/>
              </w:rPr>
              <w:t>Third-party employee access</w:t>
            </w:r>
          </w:p>
        </w:tc>
        <w:tc>
          <w:tcPr>
            <w:tcW w:w="5000" w:type="dxa"/>
            <w:shd w:val="clear" w:color="auto" w:fill="FFFFFF"/>
            <w:tcMar>
              <w:top w:w="80" w:type="dxa"/>
              <w:left w:w="100" w:type="dxa"/>
              <w:bottom w:w="80" w:type="dxa"/>
              <w:right w:w="100" w:type="dxa"/>
            </w:tcMar>
            <w:vAlign w:val="center"/>
          </w:tcPr>
          <w:p w14:paraId="0B776B06" w14:textId="77777777" w:rsidR="007F282D" w:rsidRDefault="00D416FE">
            <w:pPr>
              <w:spacing w:before="60" w:after="60"/>
            </w:pPr>
            <w:r>
              <w:rPr>
                <w:color w:val="000000"/>
              </w:rPr>
              <w:t>Yes — RouteOne employees/contractors have remote access</w:t>
            </w:r>
          </w:p>
        </w:tc>
      </w:tr>
      <w:tr w:rsidR="007F282D" w14:paraId="47486CD0" w14:textId="77777777">
        <w:tc>
          <w:tcPr>
            <w:tcW w:w="1200" w:type="dxa"/>
            <w:shd w:val="clear" w:color="auto" w:fill="F2F2F2"/>
            <w:tcMar>
              <w:top w:w="80" w:type="dxa"/>
              <w:left w:w="100" w:type="dxa"/>
              <w:bottom w:w="80" w:type="dxa"/>
              <w:right w:w="100" w:type="dxa"/>
            </w:tcMar>
            <w:vAlign w:val="center"/>
          </w:tcPr>
          <w:p w14:paraId="745AAD85" w14:textId="77777777" w:rsidR="007F282D" w:rsidRDefault="00D416FE">
            <w:pPr>
              <w:spacing w:before="60" w:after="60"/>
            </w:pPr>
            <w:r>
              <w:rPr>
                <w:b/>
                <w:bCs/>
                <w:color w:val="000000"/>
              </w:rPr>
              <w:t>T-IR-0005</w:t>
            </w:r>
          </w:p>
        </w:tc>
        <w:tc>
          <w:tcPr>
            <w:tcW w:w="2800" w:type="dxa"/>
            <w:shd w:val="clear" w:color="auto" w:fill="F2F2F2"/>
            <w:tcMar>
              <w:top w:w="80" w:type="dxa"/>
              <w:left w:w="100" w:type="dxa"/>
              <w:bottom w:w="80" w:type="dxa"/>
              <w:right w:w="100" w:type="dxa"/>
            </w:tcMar>
            <w:vAlign w:val="center"/>
          </w:tcPr>
          <w:p w14:paraId="55BFAF17" w14:textId="77777777" w:rsidR="007F282D" w:rsidRDefault="00D416FE">
            <w:pPr>
              <w:spacing w:before="60" w:after="60"/>
            </w:pPr>
            <w:r>
              <w:rPr>
                <w:color w:val="000000"/>
              </w:rPr>
              <w:t>New or emerging technology</w:t>
            </w:r>
          </w:p>
        </w:tc>
        <w:tc>
          <w:tcPr>
            <w:tcW w:w="5000" w:type="dxa"/>
            <w:shd w:val="clear" w:color="auto" w:fill="F2F2F2"/>
            <w:tcMar>
              <w:top w:w="80" w:type="dxa"/>
              <w:left w:w="100" w:type="dxa"/>
              <w:bottom w:w="80" w:type="dxa"/>
              <w:right w:w="100" w:type="dxa"/>
            </w:tcMar>
            <w:vAlign w:val="center"/>
          </w:tcPr>
          <w:p w14:paraId="35ACF539" w14:textId="77777777" w:rsidR="007F282D" w:rsidRDefault="00D416FE">
            <w:pPr>
              <w:spacing w:before="60" w:after="60"/>
            </w:pPr>
            <w:r>
              <w:rPr>
                <w:color w:val="000000"/>
              </w:rPr>
              <w:t>No — analogous to existing DealerTrack setup</w:t>
            </w:r>
          </w:p>
        </w:tc>
      </w:tr>
      <w:tr w:rsidR="007F282D" w14:paraId="0DBC24CA" w14:textId="77777777">
        <w:tc>
          <w:tcPr>
            <w:tcW w:w="1200" w:type="dxa"/>
            <w:shd w:val="clear" w:color="auto" w:fill="FFFFFF"/>
            <w:tcMar>
              <w:top w:w="80" w:type="dxa"/>
              <w:left w:w="100" w:type="dxa"/>
              <w:bottom w:w="80" w:type="dxa"/>
              <w:right w:w="100" w:type="dxa"/>
            </w:tcMar>
            <w:vAlign w:val="center"/>
          </w:tcPr>
          <w:p w14:paraId="408350FD" w14:textId="77777777" w:rsidR="007F282D" w:rsidRDefault="00D416FE">
            <w:pPr>
              <w:spacing w:before="60" w:after="60"/>
            </w:pPr>
            <w:r>
              <w:rPr>
                <w:b/>
                <w:bCs/>
                <w:color w:val="000000"/>
              </w:rPr>
              <w:t>T-IR-0005a</w:t>
            </w:r>
          </w:p>
        </w:tc>
        <w:tc>
          <w:tcPr>
            <w:tcW w:w="2800" w:type="dxa"/>
            <w:shd w:val="clear" w:color="auto" w:fill="FFFFFF"/>
            <w:tcMar>
              <w:top w:w="80" w:type="dxa"/>
              <w:left w:w="100" w:type="dxa"/>
              <w:bottom w:w="80" w:type="dxa"/>
              <w:right w:w="100" w:type="dxa"/>
            </w:tcMar>
            <w:vAlign w:val="center"/>
          </w:tcPr>
          <w:p w14:paraId="08C6C332" w14:textId="77777777" w:rsidR="007F282D" w:rsidRDefault="00D416FE">
            <w:pPr>
              <w:spacing w:before="60" w:after="60"/>
            </w:pPr>
            <w:r>
              <w:rPr>
                <w:color w:val="000000"/>
              </w:rPr>
              <w:t>AI / Machine Learning</w:t>
            </w:r>
          </w:p>
        </w:tc>
        <w:tc>
          <w:tcPr>
            <w:tcW w:w="5000" w:type="dxa"/>
            <w:shd w:val="clear" w:color="auto" w:fill="FFFFFF"/>
            <w:tcMar>
              <w:top w:w="80" w:type="dxa"/>
              <w:left w:w="100" w:type="dxa"/>
              <w:bottom w:w="80" w:type="dxa"/>
              <w:right w:w="100" w:type="dxa"/>
            </w:tcMar>
            <w:vAlign w:val="center"/>
          </w:tcPr>
          <w:p w14:paraId="4C3AFB01" w14:textId="77777777" w:rsidR="007F282D" w:rsidRDefault="00D416FE">
            <w:pPr>
              <w:spacing w:before="60" w:after="60"/>
            </w:pPr>
            <w:r>
              <w:rPr>
                <w:color w:val="000000"/>
              </w:rPr>
              <w:t>No</w:t>
            </w:r>
          </w:p>
        </w:tc>
      </w:tr>
      <w:tr w:rsidR="007F282D" w14:paraId="551FD3DC" w14:textId="77777777">
        <w:tc>
          <w:tcPr>
            <w:tcW w:w="1200" w:type="dxa"/>
            <w:shd w:val="clear" w:color="auto" w:fill="F2F2F2"/>
            <w:tcMar>
              <w:top w:w="80" w:type="dxa"/>
              <w:left w:w="100" w:type="dxa"/>
              <w:bottom w:w="80" w:type="dxa"/>
              <w:right w:w="100" w:type="dxa"/>
            </w:tcMar>
            <w:vAlign w:val="center"/>
          </w:tcPr>
          <w:p w14:paraId="05DC218B" w14:textId="77777777" w:rsidR="007F282D" w:rsidRDefault="00D416FE">
            <w:pPr>
              <w:spacing w:before="60" w:after="60"/>
            </w:pPr>
            <w:r>
              <w:rPr>
                <w:b/>
                <w:bCs/>
                <w:color w:val="000000"/>
              </w:rPr>
              <w:t>T-IR-0006</w:t>
            </w:r>
          </w:p>
        </w:tc>
        <w:tc>
          <w:tcPr>
            <w:tcW w:w="2800" w:type="dxa"/>
            <w:shd w:val="clear" w:color="auto" w:fill="F2F2F2"/>
            <w:tcMar>
              <w:top w:w="80" w:type="dxa"/>
              <w:left w:w="100" w:type="dxa"/>
              <w:bottom w:w="80" w:type="dxa"/>
              <w:right w:w="100" w:type="dxa"/>
            </w:tcMar>
            <w:vAlign w:val="center"/>
          </w:tcPr>
          <w:p w14:paraId="68FF81E6" w14:textId="77777777" w:rsidR="007F282D" w:rsidRDefault="00D416FE">
            <w:pPr>
              <w:spacing w:before="60" w:after="60"/>
            </w:pPr>
            <w:r>
              <w:rPr>
                <w:color w:val="000000"/>
              </w:rPr>
              <w:t>FHB system integration</w:t>
            </w:r>
          </w:p>
        </w:tc>
        <w:tc>
          <w:tcPr>
            <w:tcW w:w="5000" w:type="dxa"/>
            <w:shd w:val="clear" w:color="auto" w:fill="F2F2F2"/>
            <w:tcMar>
              <w:top w:w="80" w:type="dxa"/>
              <w:left w:w="100" w:type="dxa"/>
              <w:bottom w:w="80" w:type="dxa"/>
              <w:right w:w="100" w:type="dxa"/>
            </w:tcMar>
            <w:vAlign w:val="center"/>
          </w:tcPr>
          <w:p w14:paraId="2D273B6F" w14:textId="77777777" w:rsidR="007F282D" w:rsidRDefault="00D416FE">
            <w:pPr>
              <w:spacing w:before="60" w:after="60"/>
            </w:pPr>
            <w:r>
              <w:rPr>
                <w:color w:val="000000"/>
              </w:rPr>
              <w:t xml:space="preserve">Yes — ad-hoc/real-time data transmissions between RouteOne and </w:t>
            </w:r>
            <w:proofErr w:type="spellStart"/>
            <w:r>
              <w:rPr>
                <w:color w:val="000000"/>
              </w:rPr>
              <w:t>MeridianLink</w:t>
            </w:r>
            <w:proofErr w:type="spellEnd"/>
            <w:r>
              <w:rPr>
                <w:color w:val="000000"/>
              </w:rPr>
              <w:t xml:space="preserve"> on behalf of FHB</w:t>
            </w:r>
          </w:p>
        </w:tc>
      </w:tr>
      <w:tr w:rsidR="007F282D" w14:paraId="53DB8E3A" w14:textId="77777777">
        <w:tc>
          <w:tcPr>
            <w:tcW w:w="1200" w:type="dxa"/>
            <w:shd w:val="clear" w:color="auto" w:fill="FFFFFF"/>
            <w:tcMar>
              <w:top w:w="80" w:type="dxa"/>
              <w:left w:w="100" w:type="dxa"/>
              <w:bottom w:w="80" w:type="dxa"/>
              <w:right w:w="100" w:type="dxa"/>
            </w:tcMar>
            <w:vAlign w:val="center"/>
          </w:tcPr>
          <w:p w14:paraId="410F8426" w14:textId="77777777" w:rsidR="007F282D" w:rsidRDefault="00D416FE">
            <w:pPr>
              <w:spacing w:before="60" w:after="60"/>
            </w:pPr>
            <w:r>
              <w:rPr>
                <w:b/>
                <w:bCs/>
                <w:color w:val="000000"/>
              </w:rPr>
              <w:lastRenderedPageBreak/>
              <w:t>T-IR-0007</w:t>
            </w:r>
          </w:p>
        </w:tc>
        <w:tc>
          <w:tcPr>
            <w:tcW w:w="2800" w:type="dxa"/>
            <w:shd w:val="clear" w:color="auto" w:fill="FFFFFF"/>
            <w:tcMar>
              <w:top w:w="80" w:type="dxa"/>
              <w:left w:w="100" w:type="dxa"/>
              <w:bottom w:w="80" w:type="dxa"/>
              <w:right w:w="100" w:type="dxa"/>
            </w:tcMar>
            <w:vAlign w:val="center"/>
          </w:tcPr>
          <w:p w14:paraId="0B4D8EDC" w14:textId="77777777" w:rsidR="007F282D" w:rsidRDefault="00D416FE">
            <w:pPr>
              <w:spacing w:before="60" w:after="60"/>
            </w:pPr>
            <w:r>
              <w:rPr>
                <w:color w:val="000000"/>
              </w:rPr>
              <w:t>System of record</w:t>
            </w:r>
          </w:p>
        </w:tc>
        <w:tc>
          <w:tcPr>
            <w:tcW w:w="5000" w:type="dxa"/>
            <w:shd w:val="clear" w:color="auto" w:fill="FFFFFF"/>
            <w:tcMar>
              <w:top w:w="80" w:type="dxa"/>
              <w:left w:w="100" w:type="dxa"/>
              <w:bottom w:w="80" w:type="dxa"/>
              <w:right w:w="100" w:type="dxa"/>
            </w:tcMar>
            <w:vAlign w:val="center"/>
          </w:tcPr>
          <w:p w14:paraId="396E345C" w14:textId="77777777" w:rsidR="007F282D" w:rsidRDefault="00D416FE">
            <w:pPr>
              <w:spacing w:before="60" w:after="60"/>
            </w:pPr>
            <w:r>
              <w:rPr>
                <w:color w:val="000000"/>
              </w:rPr>
              <w:t xml:space="preserve">No — </w:t>
            </w:r>
            <w:proofErr w:type="spellStart"/>
            <w:r>
              <w:rPr>
                <w:color w:val="000000"/>
              </w:rPr>
              <w:t>MeridianLink</w:t>
            </w:r>
            <w:proofErr w:type="spellEnd"/>
            <w:r>
              <w:rPr>
                <w:color w:val="000000"/>
              </w:rPr>
              <w:t>/</w:t>
            </w:r>
            <w:proofErr w:type="spellStart"/>
            <w:r>
              <w:rPr>
                <w:color w:val="000000"/>
              </w:rPr>
              <w:t>LoansPQ</w:t>
            </w:r>
            <w:proofErr w:type="spellEnd"/>
            <w:r>
              <w:rPr>
                <w:color w:val="000000"/>
              </w:rPr>
              <w:t xml:space="preserve"> is the system of record</w:t>
            </w:r>
          </w:p>
        </w:tc>
      </w:tr>
    </w:tbl>
    <w:p w14:paraId="28EC3AFC" w14:textId="77777777" w:rsidR="007F282D" w:rsidRDefault="007F282D">
      <w:pPr>
        <w:spacing w:after="160"/>
      </w:pPr>
    </w:p>
    <w:p w14:paraId="099FAF51" w14:textId="77777777" w:rsidR="007F282D" w:rsidRDefault="00D416FE">
      <w:pPr>
        <w:pStyle w:val="Heading1"/>
        <w:spacing w:before="300" w:after="120"/>
      </w:pPr>
      <w:r>
        <w:t>Technology Residual Risk Assessment (Partial)</w:t>
      </w:r>
    </w:p>
    <w:p w14:paraId="4E155AC4" w14:textId="77777777" w:rsidR="007F282D" w:rsidRDefault="00D416FE">
      <w:pPr>
        <w:spacing w:after="80"/>
      </w:pPr>
      <w:r>
        <w:rPr>
          <w:sz w:val="22"/>
          <w:szCs w:val="22"/>
        </w:rPr>
        <w:t>The following residual risk questions have been answered. Additional residual risk questions may become applicable pending review of RouteOne security documentation.</w:t>
      </w:r>
    </w:p>
    <w:p w14:paraId="2447EEB7" w14:textId="77777777" w:rsidR="007F282D" w:rsidRDefault="007F282D">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000"/>
      </w:tblGrid>
      <w:tr w:rsidR="007F282D" w14:paraId="624B9880" w14:textId="77777777">
        <w:trPr>
          <w:tblHeader/>
        </w:trPr>
        <w:tc>
          <w:tcPr>
            <w:tcW w:w="1200" w:type="dxa"/>
            <w:shd w:val="clear" w:color="auto" w:fill="1F3864"/>
            <w:tcMar>
              <w:top w:w="80" w:type="dxa"/>
              <w:left w:w="100" w:type="dxa"/>
              <w:bottom w:w="80" w:type="dxa"/>
              <w:right w:w="100" w:type="dxa"/>
            </w:tcMar>
            <w:vAlign w:val="center"/>
          </w:tcPr>
          <w:p w14:paraId="769DB054" w14:textId="77777777" w:rsidR="007F282D" w:rsidRDefault="00D416FE">
            <w:pPr>
              <w:spacing w:before="60" w:after="60"/>
            </w:pPr>
            <w:r>
              <w:rPr>
                <w:b/>
                <w:bCs/>
                <w:color w:val="FFFFFF"/>
              </w:rPr>
              <w:t>Question ID</w:t>
            </w:r>
          </w:p>
        </w:tc>
        <w:tc>
          <w:tcPr>
            <w:tcW w:w="2800" w:type="dxa"/>
            <w:shd w:val="clear" w:color="auto" w:fill="1F3864"/>
            <w:tcMar>
              <w:top w:w="80" w:type="dxa"/>
              <w:left w:w="100" w:type="dxa"/>
              <w:bottom w:w="80" w:type="dxa"/>
              <w:right w:w="100" w:type="dxa"/>
            </w:tcMar>
            <w:vAlign w:val="center"/>
          </w:tcPr>
          <w:p w14:paraId="1A827C28" w14:textId="77777777" w:rsidR="007F282D" w:rsidRDefault="00D416FE">
            <w:pPr>
              <w:spacing w:before="60" w:after="60"/>
            </w:pPr>
            <w:r>
              <w:rPr>
                <w:b/>
                <w:bCs/>
                <w:color w:val="FFFFFF"/>
              </w:rPr>
              <w:t>Question</w:t>
            </w:r>
          </w:p>
        </w:tc>
        <w:tc>
          <w:tcPr>
            <w:tcW w:w="5000" w:type="dxa"/>
            <w:shd w:val="clear" w:color="auto" w:fill="1F3864"/>
            <w:tcMar>
              <w:top w:w="80" w:type="dxa"/>
              <w:left w:w="100" w:type="dxa"/>
              <w:bottom w:w="80" w:type="dxa"/>
              <w:right w:w="100" w:type="dxa"/>
            </w:tcMar>
            <w:vAlign w:val="center"/>
          </w:tcPr>
          <w:p w14:paraId="1AE1C4E7" w14:textId="77777777" w:rsidR="007F282D" w:rsidRDefault="00D416FE">
            <w:pPr>
              <w:spacing w:before="60" w:after="60"/>
            </w:pPr>
            <w:r>
              <w:rPr>
                <w:b/>
                <w:bCs/>
                <w:color w:val="FFFFFF"/>
              </w:rPr>
              <w:t>Answer / Determination</w:t>
            </w:r>
          </w:p>
        </w:tc>
      </w:tr>
      <w:tr w:rsidR="007F282D" w14:paraId="33FE6040" w14:textId="77777777">
        <w:tc>
          <w:tcPr>
            <w:tcW w:w="1200" w:type="dxa"/>
            <w:shd w:val="clear" w:color="auto" w:fill="F2F2F2"/>
            <w:tcMar>
              <w:top w:w="80" w:type="dxa"/>
              <w:left w:w="100" w:type="dxa"/>
              <w:bottom w:w="80" w:type="dxa"/>
              <w:right w:w="100" w:type="dxa"/>
            </w:tcMar>
            <w:vAlign w:val="center"/>
          </w:tcPr>
          <w:p w14:paraId="09264464" w14:textId="77777777" w:rsidR="007F282D" w:rsidRDefault="00D416FE">
            <w:pPr>
              <w:spacing w:before="60" w:after="60"/>
            </w:pPr>
            <w:r>
              <w:rPr>
                <w:b/>
                <w:bCs/>
                <w:color w:val="000000"/>
              </w:rPr>
              <w:t>T-RR-0001</w:t>
            </w:r>
          </w:p>
        </w:tc>
        <w:tc>
          <w:tcPr>
            <w:tcW w:w="2800" w:type="dxa"/>
            <w:shd w:val="clear" w:color="auto" w:fill="F2F2F2"/>
            <w:tcMar>
              <w:top w:w="80" w:type="dxa"/>
              <w:left w:w="100" w:type="dxa"/>
              <w:bottom w:w="80" w:type="dxa"/>
              <w:right w:w="100" w:type="dxa"/>
            </w:tcMar>
            <w:vAlign w:val="center"/>
          </w:tcPr>
          <w:p w14:paraId="1C1A544C" w14:textId="77777777" w:rsidR="007F282D" w:rsidRDefault="00D416FE">
            <w:pPr>
              <w:spacing w:before="60" w:after="60"/>
            </w:pPr>
            <w:r>
              <w:rPr>
                <w:color w:val="000000"/>
              </w:rPr>
              <w:t>Maintenance responsibility defined</w:t>
            </w:r>
          </w:p>
        </w:tc>
        <w:tc>
          <w:tcPr>
            <w:tcW w:w="5000" w:type="dxa"/>
            <w:shd w:val="clear" w:color="auto" w:fill="F2F2F2"/>
            <w:tcMar>
              <w:top w:w="80" w:type="dxa"/>
              <w:left w:w="100" w:type="dxa"/>
              <w:bottom w:w="80" w:type="dxa"/>
              <w:right w:w="100" w:type="dxa"/>
            </w:tcMar>
            <w:vAlign w:val="center"/>
          </w:tcPr>
          <w:p w14:paraId="3920A247" w14:textId="77777777" w:rsidR="007F282D" w:rsidRDefault="00D416FE">
            <w:pPr>
              <w:spacing w:before="60" w:after="60"/>
            </w:pPr>
            <w:r>
              <w:rPr>
                <w:color w:val="000000"/>
              </w:rPr>
              <w:t>Yes — SLAs defined; RouteOne partially/wholly responsible</w:t>
            </w:r>
          </w:p>
        </w:tc>
      </w:tr>
      <w:tr w:rsidR="007F282D" w14:paraId="57BCC764" w14:textId="77777777">
        <w:tc>
          <w:tcPr>
            <w:tcW w:w="1200" w:type="dxa"/>
            <w:shd w:val="clear" w:color="auto" w:fill="FFFFFF"/>
            <w:tcMar>
              <w:top w:w="80" w:type="dxa"/>
              <w:left w:w="100" w:type="dxa"/>
              <w:bottom w:w="80" w:type="dxa"/>
              <w:right w:w="100" w:type="dxa"/>
            </w:tcMar>
            <w:vAlign w:val="center"/>
          </w:tcPr>
          <w:p w14:paraId="40BF44A7" w14:textId="77777777" w:rsidR="007F282D" w:rsidRDefault="00D416FE">
            <w:pPr>
              <w:spacing w:before="60" w:after="60"/>
            </w:pPr>
            <w:r>
              <w:rPr>
                <w:b/>
                <w:bCs/>
                <w:color w:val="000000"/>
              </w:rPr>
              <w:t>T-RR-0006</w:t>
            </w:r>
          </w:p>
        </w:tc>
        <w:tc>
          <w:tcPr>
            <w:tcW w:w="2800" w:type="dxa"/>
            <w:shd w:val="clear" w:color="auto" w:fill="FFFFFF"/>
            <w:tcMar>
              <w:top w:w="80" w:type="dxa"/>
              <w:left w:w="100" w:type="dxa"/>
              <w:bottom w:w="80" w:type="dxa"/>
              <w:right w:w="100" w:type="dxa"/>
            </w:tcMar>
            <w:vAlign w:val="center"/>
          </w:tcPr>
          <w:p w14:paraId="04B98680" w14:textId="77777777" w:rsidR="007F282D" w:rsidRDefault="00D416FE">
            <w:pPr>
              <w:spacing w:before="60" w:after="60"/>
            </w:pPr>
            <w:r>
              <w:rPr>
                <w:color w:val="000000"/>
              </w:rPr>
              <w:t>Data protection requirements defined</w:t>
            </w:r>
          </w:p>
        </w:tc>
        <w:tc>
          <w:tcPr>
            <w:tcW w:w="5000" w:type="dxa"/>
            <w:shd w:val="clear" w:color="auto" w:fill="FFFFFF"/>
            <w:tcMar>
              <w:top w:w="80" w:type="dxa"/>
              <w:left w:w="100" w:type="dxa"/>
              <w:bottom w:w="80" w:type="dxa"/>
              <w:right w:w="100" w:type="dxa"/>
            </w:tcMar>
            <w:vAlign w:val="center"/>
          </w:tcPr>
          <w:p w14:paraId="5C698915" w14:textId="77777777" w:rsidR="007F282D" w:rsidRDefault="00D416FE">
            <w:pPr>
              <w:spacing w:before="60" w:after="60"/>
            </w:pPr>
            <w:r>
              <w:rPr>
                <w:color w:val="000000"/>
              </w:rPr>
              <w:t>Yes — requirements defined and agreed upon</w:t>
            </w:r>
          </w:p>
        </w:tc>
      </w:tr>
      <w:tr w:rsidR="007F282D" w14:paraId="41FDDA72" w14:textId="77777777">
        <w:tc>
          <w:tcPr>
            <w:tcW w:w="1200" w:type="dxa"/>
            <w:shd w:val="clear" w:color="auto" w:fill="F2F2F2"/>
            <w:tcMar>
              <w:top w:w="80" w:type="dxa"/>
              <w:left w:w="100" w:type="dxa"/>
              <w:bottom w:w="80" w:type="dxa"/>
              <w:right w:w="100" w:type="dxa"/>
            </w:tcMar>
            <w:vAlign w:val="center"/>
          </w:tcPr>
          <w:p w14:paraId="003A1C3A" w14:textId="77777777" w:rsidR="007F282D" w:rsidRDefault="00D416FE">
            <w:pPr>
              <w:spacing w:before="60" w:after="60"/>
            </w:pPr>
            <w:r>
              <w:rPr>
                <w:b/>
                <w:bCs/>
                <w:color w:val="000000"/>
              </w:rPr>
              <w:t>T-RR-0010</w:t>
            </w:r>
          </w:p>
        </w:tc>
        <w:tc>
          <w:tcPr>
            <w:tcW w:w="2800" w:type="dxa"/>
            <w:shd w:val="clear" w:color="auto" w:fill="F2F2F2"/>
            <w:tcMar>
              <w:top w:w="80" w:type="dxa"/>
              <w:left w:w="100" w:type="dxa"/>
              <w:bottom w:w="80" w:type="dxa"/>
              <w:right w:w="100" w:type="dxa"/>
            </w:tcMar>
            <w:vAlign w:val="center"/>
          </w:tcPr>
          <w:p w14:paraId="505988D4" w14:textId="77777777" w:rsidR="007F282D" w:rsidRDefault="00D416FE">
            <w:pPr>
              <w:spacing w:before="60" w:after="60"/>
            </w:pPr>
            <w:r>
              <w:rPr>
                <w:color w:val="000000"/>
              </w:rPr>
              <w:t>Integration SLAs defined</w:t>
            </w:r>
          </w:p>
        </w:tc>
        <w:tc>
          <w:tcPr>
            <w:tcW w:w="5000" w:type="dxa"/>
            <w:shd w:val="clear" w:color="auto" w:fill="F2F2F2"/>
            <w:tcMar>
              <w:top w:w="80" w:type="dxa"/>
              <w:left w:w="100" w:type="dxa"/>
              <w:bottom w:w="80" w:type="dxa"/>
              <w:right w:w="100" w:type="dxa"/>
            </w:tcMar>
            <w:vAlign w:val="center"/>
          </w:tcPr>
          <w:p w14:paraId="15E309DB" w14:textId="77777777" w:rsidR="007F282D" w:rsidRDefault="00D416FE">
            <w:pPr>
              <w:spacing w:before="60" w:after="60"/>
            </w:pPr>
            <w:r>
              <w:rPr>
                <w:color w:val="000000"/>
              </w:rPr>
              <w:t>Yes — performance, integrity, security, and maintenance SLAs in place</w:t>
            </w:r>
          </w:p>
        </w:tc>
      </w:tr>
    </w:tbl>
    <w:p w14:paraId="42B2109F" w14:textId="77777777" w:rsidR="007F282D" w:rsidRDefault="007F282D">
      <w:pPr>
        <w:spacing w:after="160"/>
      </w:pPr>
    </w:p>
    <w:p w14:paraId="443468FF" w14:textId="77777777" w:rsidR="007F282D" w:rsidRDefault="00D416FE">
      <w:pPr>
        <w:pStyle w:val="Heading1"/>
        <w:spacing w:before="300" w:after="120"/>
      </w:pPr>
      <w:r>
        <w:t>What We Know</w:t>
      </w:r>
    </w:p>
    <w:p w14:paraId="29ACD22F" w14:textId="77777777" w:rsidR="007F282D" w:rsidRDefault="007F282D">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7F282D" w14:paraId="3F3074F3" w14:textId="77777777">
        <w:trPr>
          <w:tblHeader/>
        </w:trPr>
        <w:tc>
          <w:tcPr>
            <w:tcW w:w="3000" w:type="dxa"/>
            <w:shd w:val="clear" w:color="auto" w:fill="1F3864"/>
            <w:tcMar>
              <w:top w:w="80" w:type="dxa"/>
              <w:left w:w="100" w:type="dxa"/>
              <w:bottom w:w="80" w:type="dxa"/>
              <w:right w:w="100" w:type="dxa"/>
            </w:tcMar>
            <w:vAlign w:val="center"/>
          </w:tcPr>
          <w:p w14:paraId="66081CDB" w14:textId="77777777" w:rsidR="007F282D" w:rsidRDefault="00D416FE">
            <w:pPr>
              <w:spacing w:before="60" w:after="60"/>
            </w:pPr>
            <w:r>
              <w:rPr>
                <w:b/>
                <w:bCs/>
                <w:color w:val="FFFFFF"/>
              </w:rPr>
              <w:t>Topic</w:t>
            </w:r>
          </w:p>
        </w:tc>
        <w:tc>
          <w:tcPr>
            <w:tcW w:w="6000" w:type="dxa"/>
            <w:shd w:val="clear" w:color="auto" w:fill="1F3864"/>
            <w:tcMar>
              <w:top w:w="80" w:type="dxa"/>
              <w:left w:w="100" w:type="dxa"/>
              <w:bottom w:w="80" w:type="dxa"/>
              <w:right w:w="100" w:type="dxa"/>
            </w:tcMar>
            <w:vAlign w:val="center"/>
          </w:tcPr>
          <w:p w14:paraId="6047D7D8" w14:textId="77777777" w:rsidR="007F282D" w:rsidRDefault="00D416FE">
            <w:pPr>
              <w:spacing w:before="60" w:after="60"/>
            </w:pPr>
            <w:r>
              <w:rPr>
                <w:b/>
                <w:bCs/>
                <w:color w:val="FFFFFF"/>
              </w:rPr>
              <w:t>Detail</w:t>
            </w:r>
          </w:p>
        </w:tc>
      </w:tr>
      <w:tr w:rsidR="007F282D" w14:paraId="7A2A3F2F" w14:textId="77777777">
        <w:tc>
          <w:tcPr>
            <w:tcW w:w="3000" w:type="dxa"/>
            <w:shd w:val="clear" w:color="auto" w:fill="F2F2F2"/>
            <w:tcMar>
              <w:top w:w="80" w:type="dxa"/>
              <w:left w:w="100" w:type="dxa"/>
              <w:bottom w:w="80" w:type="dxa"/>
              <w:right w:w="100" w:type="dxa"/>
            </w:tcMar>
            <w:vAlign w:val="center"/>
          </w:tcPr>
          <w:p w14:paraId="4103754E" w14:textId="77777777" w:rsidR="007F282D" w:rsidRDefault="00D416FE">
            <w:pPr>
              <w:spacing w:before="60" w:after="60"/>
            </w:pPr>
            <w:r>
              <w:rPr>
                <w:b/>
                <w:bCs/>
                <w:color w:val="000000"/>
              </w:rPr>
              <w:t>Data flow</w:t>
            </w:r>
          </w:p>
        </w:tc>
        <w:tc>
          <w:tcPr>
            <w:tcW w:w="6000" w:type="dxa"/>
            <w:shd w:val="clear" w:color="auto" w:fill="F2F2F2"/>
            <w:tcMar>
              <w:top w:w="80" w:type="dxa"/>
              <w:left w:w="100" w:type="dxa"/>
              <w:bottom w:w="80" w:type="dxa"/>
              <w:right w:w="100" w:type="dxa"/>
            </w:tcMar>
            <w:vAlign w:val="center"/>
          </w:tcPr>
          <w:p w14:paraId="3CB801CF" w14:textId="77777777" w:rsidR="007F282D" w:rsidRDefault="00D416FE">
            <w:pPr>
              <w:spacing w:before="60" w:after="60"/>
            </w:pPr>
            <w:r>
              <w:rPr>
                <w:color w:val="000000"/>
              </w:rPr>
              <w:t xml:space="preserve">Dealers → RouteOne → </w:t>
            </w:r>
            <w:proofErr w:type="spellStart"/>
            <w:r>
              <w:rPr>
                <w:color w:val="000000"/>
              </w:rPr>
              <w:t>MeridianLink</w:t>
            </w:r>
            <w:proofErr w:type="spellEnd"/>
            <w:r>
              <w:rPr>
                <w:color w:val="000000"/>
              </w:rPr>
              <w:t>/</w:t>
            </w:r>
            <w:proofErr w:type="spellStart"/>
            <w:r>
              <w:rPr>
                <w:color w:val="000000"/>
              </w:rPr>
              <w:t>LoansPQ</w:t>
            </w:r>
            <w:proofErr w:type="spellEnd"/>
            <w:r>
              <w:rPr>
                <w:color w:val="000000"/>
              </w:rPr>
              <w:t xml:space="preserve"> → FHB. FHB interacts only through </w:t>
            </w:r>
            <w:proofErr w:type="spellStart"/>
            <w:r>
              <w:rPr>
                <w:color w:val="000000"/>
              </w:rPr>
              <w:t>LoansPQ</w:t>
            </w:r>
            <w:proofErr w:type="spellEnd"/>
            <w:r>
              <w:rPr>
                <w:color w:val="000000"/>
              </w:rPr>
              <w:t>; no direct interface with RouteOne.</w:t>
            </w:r>
          </w:p>
        </w:tc>
      </w:tr>
      <w:tr w:rsidR="007F282D" w14:paraId="36AB6050" w14:textId="77777777">
        <w:tc>
          <w:tcPr>
            <w:tcW w:w="3000" w:type="dxa"/>
            <w:shd w:val="clear" w:color="auto" w:fill="FFFFFF"/>
            <w:tcMar>
              <w:top w:w="80" w:type="dxa"/>
              <w:left w:w="100" w:type="dxa"/>
              <w:bottom w:w="80" w:type="dxa"/>
              <w:right w:w="100" w:type="dxa"/>
            </w:tcMar>
            <w:vAlign w:val="center"/>
          </w:tcPr>
          <w:p w14:paraId="41C6D7E0" w14:textId="77777777" w:rsidR="007F282D" w:rsidRDefault="00D416FE">
            <w:pPr>
              <w:spacing w:before="60" w:after="60"/>
            </w:pPr>
            <w:r>
              <w:rPr>
                <w:b/>
                <w:bCs/>
                <w:color w:val="000000"/>
              </w:rPr>
              <w:t>Customer PII in transit</w:t>
            </w:r>
          </w:p>
        </w:tc>
        <w:tc>
          <w:tcPr>
            <w:tcW w:w="6000" w:type="dxa"/>
            <w:shd w:val="clear" w:color="auto" w:fill="FFFFFF"/>
            <w:tcMar>
              <w:top w:w="80" w:type="dxa"/>
              <w:left w:w="100" w:type="dxa"/>
              <w:bottom w:w="80" w:type="dxa"/>
              <w:right w:w="100" w:type="dxa"/>
            </w:tcMar>
            <w:vAlign w:val="center"/>
          </w:tcPr>
          <w:p w14:paraId="04547223" w14:textId="77777777" w:rsidR="007F282D" w:rsidRDefault="00D416FE">
            <w:pPr>
              <w:spacing w:before="60" w:after="60"/>
            </w:pPr>
            <w:r>
              <w:rPr>
                <w:color w:val="000000"/>
              </w:rPr>
              <w:t>Name, address, SSN, financial information flow through RouteOne in transit. FHB returns limited data: name, application number, collateral description, loan decision.</w:t>
            </w:r>
          </w:p>
        </w:tc>
      </w:tr>
      <w:tr w:rsidR="007F282D" w14:paraId="45548BB6" w14:textId="77777777">
        <w:tc>
          <w:tcPr>
            <w:tcW w:w="3000" w:type="dxa"/>
            <w:shd w:val="clear" w:color="auto" w:fill="F2F2F2"/>
            <w:tcMar>
              <w:top w:w="80" w:type="dxa"/>
              <w:left w:w="100" w:type="dxa"/>
              <w:bottom w:w="80" w:type="dxa"/>
              <w:right w:w="100" w:type="dxa"/>
            </w:tcMar>
            <w:vAlign w:val="center"/>
          </w:tcPr>
          <w:p w14:paraId="679AAE5C" w14:textId="77777777" w:rsidR="007F282D" w:rsidRDefault="00D416FE">
            <w:pPr>
              <w:spacing w:before="60" w:after="60"/>
            </w:pPr>
            <w:r>
              <w:rPr>
                <w:b/>
                <w:bCs/>
                <w:color w:val="000000"/>
              </w:rPr>
              <w:t>Analogous service in production</w:t>
            </w:r>
          </w:p>
        </w:tc>
        <w:tc>
          <w:tcPr>
            <w:tcW w:w="6000" w:type="dxa"/>
            <w:shd w:val="clear" w:color="auto" w:fill="F2F2F2"/>
            <w:tcMar>
              <w:top w:w="80" w:type="dxa"/>
              <w:left w:w="100" w:type="dxa"/>
              <w:bottom w:w="80" w:type="dxa"/>
              <w:right w:w="100" w:type="dxa"/>
            </w:tcMar>
            <w:vAlign w:val="center"/>
          </w:tcPr>
          <w:p w14:paraId="341FDC56" w14:textId="77777777" w:rsidR="007F282D" w:rsidRDefault="00D416FE">
            <w:pPr>
              <w:spacing w:before="60" w:after="60"/>
            </w:pPr>
            <w:r>
              <w:rPr>
                <w:color w:val="000000"/>
              </w:rPr>
              <w:t>DealerTrack has operated under the same architecture for 15+ years. RouteOne adds a second channel for dealers who prefer it.</w:t>
            </w:r>
          </w:p>
        </w:tc>
      </w:tr>
      <w:tr w:rsidR="007F282D" w14:paraId="20612187" w14:textId="77777777">
        <w:tc>
          <w:tcPr>
            <w:tcW w:w="3000" w:type="dxa"/>
            <w:shd w:val="clear" w:color="auto" w:fill="FFFFFF"/>
            <w:tcMar>
              <w:top w:w="80" w:type="dxa"/>
              <w:left w:w="100" w:type="dxa"/>
              <w:bottom w:w="80" w:type="dxa"/>
              <w:right w:w="100" w:type="dxa"/>
            </w:tcMar>
            <w:vAlign w:val="center"/>
          </w:tcPr>
          <w:p w14:paraId="57808EFF" w14:textId="77777777" w:rsidR="007F282D" w:rsidRDefault="00D416FE">
            <w:pPr>
              <w:spacing w:before="60" w:after="60"/>
            </w:pPr>
            <w:r>
              <w:rPr>
                <w:b/>
                <w:bCs/>
                <w:color w:val="000000"/>
              </w:rPr>
              <w:t>Third-party remote access</w:t>
            </w:r>
          </w:p>
        </w:tc>
        <w:tc>
          <w:tcPr>
            <w:tcW w:w="6000" w:type="dxa"/>
            <w:shd w:val="clear" w:color="auto" w:fill="FFFFFF"/>
            <w:tcMar>
              <w:top w:w="80" w:type="dxa"/>
              <w:left w:w="100" w:type="dxa"/>
              <w:bottom w:w="80" w:type="dxa"/>
              <w:right w:w="100" w:type="dxa"/>
            </w:tcMar>
            <w:vAlign w:val="center"/>
          </w:tcPr>
          <w:p w14:paraId="79FAAA38" w14:textId="77777777" w:rsidR="007F282D" w:rsidRDefault="00D416FE">
            <w:pPr>
              <w:spacing w:before="60" w:after="60"/>
            </w:pPr>
            <w:r>
              <w:rPr>
                <w:color w:val="000000"/>
              </w:rPr>
              <w:t>RouteOne employees/contractors have remote access to their system.</w:t>
            </w:r>
          </w:p>
        </w:tc>
      </w:tr>
      <w:tr w:rsidR="007F282D" w14:paraId="569B5EC0" w14:textId="77777777">
        <w:tc>
          <w:tcPr>
            <w:tcW w:w="3000" w:type="dxa"/>
            <w:shd w:val="clear" w:color="auto" w:fill="F2F2F2"/>
            <w:tcMar>
              <w:top w:w="80" w:type="dxa"/>
              <w:left w:w="100" w:type="dxa"/>
              <w:bottom w:w="80" w:type="dxa"/>
              <w:right w:w="100" w:type="dxa"/>
            </w:tcMar>
            <w:vAlign w:val="center"/>
          </w:tcPr>
          <w:p w14:paraId="49500332" w14:textId="77777777" w:rsidR="007F282D" w:rsidRDefault="00D416FE">
            <w:pPr>
              <w:spacing w:before="60" w:after="60"/>
            </w:pPr>
            <w:r>
              <w:rPr>
                <w:b/>
                <w:bCs/>
                <w:color w:val="000000"/>
              </w:rPr>
              <w:t>Integration type</w:t>
            </w:r>
          </w:p>
        </w:tc>
        <w:tc>
          <w:tcPr>
            <w:tcW w:w="6000" w:type="dxa"/>
            <w:shd w:val="clear" w:color="auto" w:fill="F2F2F2"/>
            <w:tcMar>
              <w:top w:w="80" w:type="dxa"/>
              <w:left w:w="100" w:type="dxa"/>
              <w:bottom w:w="80" w:type="dxa"/>
              <w:right w:w="100" w:type="dxa"/>
            </w:tcMar>
            <w:vAlign w:val="center"/>
          </w:tcPr>
          <w:p w14:paraId="1D977620" w14:textId="77777777" w:rsidR="007F282D" w:rsidRDefault="00D416FE">
            <w:pPr>
              <w:spacing w:before="60" w:after="60"/>
            </w:pPr>
            <w:r>
              <w:rPr>
                <w:color w:val="000000"/>
              </w:rPr>
              <w:t xml:space="preserve">Ad-hoc batch and/or real-time data transmissions between RouteOne and </w:t>
            </w:r>
            <w:proofErr w:type="spellStart"/>
            <w:r>
              <w:rPr>
                <w:color w:val="000000"/>
              </w:rPr>
              <w:t>MeridianLink</w:t>
            </w:r>
            <w:proofErr w:type="spellEnd"/>
            <w:r>
              <w:rPr>
                <w:color w:val="000000"/>
              </w:rPr>
              <w:t xml:space="preserve"> on behalf of FHB (T-IR-0006a).</w:t>
            </w:r>
          </w:p>
        </w:tc>
      </w:tr>
      <w:tr w:rsidR="007F282D" w14:paraId="24EF4192" w14:textId="77777777">
        <w:tc>
          <w:tcPr>
            <w:tcW w:w="3000" w:type="dxa"/>
            <w:shd w:val="clear" w:color="auto" w:fill="FFFFFF"/>
            <w:tcMar>
              <w:top w:w="80" w:type="dxa"/>
              <w:left w:w="100" w:type="dxa"/>
              <w:bottom w:w="80" w:type="dxa"/>
              <w:right w:w="100" w:type="dxa"/>
            </w:tcMar>
            <w:vAlign w:val="center"/>
          </w:tcPr>
          <w:p w14:paraId="218EBD46" w14:textId="77777777" w:rsidR="007F282D" w:rsidRDefault="00D416FE">
            <w:pPr>
              <w:spacing w:before="60" w:after="60"/>
            </w:pPr>
            <w:r>
              <w:rPr>
                <w:b/>
                <w:bCs/>
                <w:color w:val="000000"/>
              </w:rPr>
              <w:t>Prior security review</w:t>
            </w:r>
          </w:p>
        </w:tc>
        <w:tc>
          <w:tcPr>
            <w:tcW w:w="6000" w:type="dxa"/>
            <w:shd w:val="clear" w:color="auto" w:fill="FFFFFF"/>
            <w:tcMar>
              <w:top w:w="80" w:type="dxa"/>
              <w:left w:w="100" w:type="dxa"/>
              <w:bottom w:w="80" w:type="dxa"/>
              <w:right w:w="100" w:type="dxa"/>
            </w:tcMar>
            <w:vAlign w:val="center"/>
          </w:tcPr>
          <w:p w14:paraId="7BFFF1E1" w14:textId="77777777" w:rsidR="007F282D" w:rsidRDefault="00D416FE">
            <w:pPr>
              <w:spacing w:before="60" w:after="60"/>
            </w:pPr>
            <w:r>
              <w:rPr>
                <w:color w:val="000000"/>
              </w:rPr>
              <w:t xml:space="preserve">Vendor Security conducted a review in 2023. The SOC report was reviewed for control exceptions; methodology was less rigorous than </w:t>
            </w:r>
            <w:r>
              <w:rPr>
                <w:color w:val="000000"/>
              </w:rPr>
              <w:lastRenderedPageBreak/>
              <w:t>the current process. The review did not explicitly assess encryption or data-in-transit security.</w:t>
            </w:r>
          </w:p>
        </w:tc>
      </w:tr>
      <w:tr w:rsidR="007F282D" w14:paraId="637B96F6" w14:textId="77777777">
        <w:tc>
          <w:tcPr>
            <w:tcW w:w="3000" w:type="dxa"/>
            <w:shd w:val="clear" w:color="auto" w:fill="F2F2F2"/>
            <w:tcMar>
              <w:top w:w="80" w:type="dxa"/>
              <w:left w:w="100" w:type="dxa"/>
              <w:bottom w:w="80" w:type="dxa"/>
              <w:right w:w="100" w:type="dxa"/>
            </w:tcMar>
            <w:vAlign w:val="center"/>
          </w:tcPr>
          <w:p w14:paraId="09B34932" w14:textId="77777777" w:rsidR="007F282D" w:rsidRDefault="00D416FE">
            <w:pPr>
              <w:spacing w:before="60" w:after="60"/>
            </w:pPr>
            <w:r>
              <w:rPr>
                <w:b/>
                <w:bCs/>
                <w:color w:val="000000"/>
              </w:rPr>
              <w:lastRenderedPageBreak/>
              <w:t>SOC documentation provided</w:t>
            </w:r>
          </w:p>
        </w:tc>
        <w:tc>
          <w:tcPr>
            <w:tcW w:w="6000" w:type="dxa"/>
            <w:shd w:val="clear" w:color="auto" w:fill="F2F2F2"/>
            <w:tcMar>
              <w:top w:w="80" w:type="dxa"/>
              <w:left w:w="100" w:type="dxa"/>
              <w:bottom w:w="80" w:type="dxa"/>
              <w:right w:w="100" w:type="dxa"/>
            </w:tcMar>
            <w:vAlign w:val="center"/>
          </w:tcPr>
          <w:p w14:paraId="3E0BBDC2" w14:textId="4B637564" w:rsidR="007F282D" w:rsidRDefault="00D416FE">
            <w:pPr>
              <w:spacing w:before="60" w:after="60"/>
            </w:pPr>
            <w:r>
              <w:rPr>
                <w:color w:val="000000"/>
              </w:rPr>
              <w:t>SOC 1 Type II (Oct 2024–Sep 2025), SOC 2 Type II (Security, Availability, Privacy; Oct 2024–Sep 2025), SOC for Cybersecurity (Oct 2024–Sep 2025), Bridge Letter (valid through Dec 31, 2025)</w:t>
            </w:r>
            <w:r w:rsidR="007E3BB2">
              <w:rPr>
                <w:color w:val="000000"/>
              </w:rPr>
              <w:t xml:space="preserve"> and other documents not related to security</w:t>
            </w:r>
            <w:r>
              <w:rPr>
                <w:color w:val="000000"/>
              </w:rPr>
              <w:t>.</w:t>
            </w:r>
          </w:p>
        </w:tc>
      </w:tr>
      <w:tr w:rsidR="007F282D" w14:paraId="7A9052A4" w14:textId="77777777">
        <w:tc>
          <w:tcPr>
            <w:tcW w:w="3000" w:type="dxa"/>
            <w:shd w:val="clear" w:color="auto" w:fill="FFFFFF"/>
            <w:tcMar>
              <w:top w:w="80" w:type="dxa"/>
              <w:left w:w="100" w:type="dxa"/>
              <w:bottom w:w="80" w:type="dxa"/>
              <w:right w:w="100" w:type="dxa"/>
            </w:tcMar>
            <w:vAlign w:val="center"/>
          </w:tcPr>
          <w:p w14:paraId="175B5341" w14:textId="77777777" w:rsidR="007F282D" w:rsidRDefault="00D416FE">
            <w:pPr>
              <w:spacing w:before="60" w:after="60"/>
            </w:pPr>
            <w:r>
              <w:rPr>
                <w:b/>
                <w:bCs/>
                <w:color w:val="000000"/>
              </w:rPr>
              <w:t>CISP</w:t>
            </w:r>
          </w:p>
        </w:tc>
        <w:tc>
          <w:tcPr>
            <w:tcW w:w="6000" w:type="dxa"/>
            <w:shd w:val="clear" w:color="auto" w:fill="FFFFFF"/>
            <w:tcMar>
              <w:top w:w="80" w:type="dxa"/>
              <w:left w:w="100" w:type="dxa"/>
              <w:bottom w:w="80" w:type="dxa"/>
              <w:right w:w="100" w:type="dxa"/>
            </w:tcMar>
            <w:vAlign w:val="center"/>
          </w:tcPr>
          <w:p w14:paraId="2595B011" w14:textId="77777777" w:rsidR="007F282D" w:rsidRDefault="00D416FE">
            <w:pPr>
              <w:spacing w:before="60" w:after="60"/>
            </w:pPr>
            <w:r>
              <w:rPr>
                <w:color w:val="000000"/>
              </w:rPr>
              <w:t>RouteOne CISP v6.0 (GLBA/FTC Safeguards Rule) — covers access controls, encryption, secure development, change management, vulnerability/pen testing, security awareness, and service provider oversight.</w:t>
            </w:r>
          </w:p>
        </w:tc>
      </w:tr>
      <w:tr w:rsidR="007F282D" w14:paraId="7F16D06C" w14:textId="77777777">
        <w:tc>
          <w:tcPr>
            <w:tcW w:w="3000" w:type="dxa"/>
            <w:shd w:val="clear" w:color="auto" w:fill="F2F2F2"/>
            <w:tcMar>
              <w:top w:w="80" w:type="dxa"/>
              <w:left w:w="100" w:type="dxa"/>
              <w:bottom w:w="80" w:type="dxa"/>
              <w:right w:w="100" w:type="dxa"/>
            </w:tcMar>
            <w:vAlign w:val="center"/>
          </w:tcPr>
          <w:p w14:paraId="0DBF4EF3" w14:textId="77777777" w:rsidR="007F282D" w:rsidRDefault="00D416FE">
            <w:pPr>
              <w:spacing w:before="60" w:after="60"/>
            </w:pPr>
            <w:r>
              <w:rPr>
                <w:b/>
                <w:bCs/>
                <w:color w:val="000000"/>
              </w:rPr>
              <w:t>Network diagram</w:t>
            </w:r>
          </w:p>
        </w:tc>
        <w:tc>
          <w:tcPr>
            <w:tcW w:w="6000" w:type="dxa"/>
            <w:shd w:val="clear" w:color="auto" w:fill="F2F2F2"/>
            <w:tcMar>
              <w:top w:w="80" w:type="dxa"/>
              <w:left w:w="100" w:type="dxa"/>
              <w:bottom w:w="80" w:type="dxa"/>
              <w:right w:w="100" w:type="dxa"/>
            </w:tcMar>
            <w:vAlign w:val="center"/>
          </w:tcPr>
          <w:p w14:paraId="7F446D02" w14:textId="77777777" w:rsidR="007F282D" w:rsidRDefault="00D416FE">
            <w:pPr>
              <w:spacing w:before="60" w:after="60"/>
            </w:pPr>
            <w:r>
              <w:rPr>
                <w:color w:val="000000"/>
              </w:rPr>
              <w:t>One diagram exists in Archer. It was generated by FHB — not provided by RouteOne — based on FHB's understanding of the data flow. Mike Dulaney confirmed the general workflow remains accurate.</w:t>
            </w:r>
          </w:p>
        </w:tc>
      </w:tr>
      <w:tr w:rsidR="007F282D" w14:paraId="2DE09EED" w14:textId="77777777">
        <w:tc>
          <w:tcPr>
            <w:tcW w:w="3000" w:type="dxa"/>
            <w:shd w:val="clear" w:color="auto" w:fill="FFFFFF"/>
            <w:tcMar>
              <w:top w:w="80" w:type="dxa"/>
              <w:left w:w="100" w:type="dxa"/>
              <w:bottom w:w="80" w:type="dxa"/>
              <w:right w:w="100" w:type="dxa"/>
            </w:tcMar>
            <w:vAlign w:val="center"/>
          </w:tcPr>
          <w:p w14:paraId="2946B240" w14:textId="77777777" w:rsidR="007F282D" w:rsidRDefault="00D416FE">
            <w:pPr>
              <w:spacing w:before="60" w:after="60"/>
            </w:pPr>
            <w:proofErr w:type="spellStart"/>
            <w:r>
              <w:rPr>
                <w:b/>
                <w:bCs/>
                <w:color w:val="000000"/>
              </w:rPr>
              <w:t>LoansPQ</w:t>
            </w:r>
            <w:proofErr w:type="spellEnd"/>
            <w:r>
              <w:rPr>
                <w:b/>
                <w:bCs/>
                <w:color w:val="000000"/>
              </w:rPr>
              <w:t xml:space="preserve"> upgrade</w:t>
            </w:r>
          </w:p>
        </w:tc>
        <w:tc>
          <w:tcPr>
            <w:tcW w:w="6000" w:type="dxa"/>
            <w:shd w:val="clear" w:color="auto" w:fill="FFFFFF"/>
            <w:tcMar>
              <w:top w:w="80" w:type="dxa"/>
              <w:left w:w="100" w:type="dxa"/>
              <w:bottom w:w="80" w:type="dxa"/>
              <w:right w:w="100" w:type="dxa"/>
            </w:tcMar>
            <w:vAlign w:val="center"/>
          </w:tcPr>
          <w:p w14:paraId="18311433" w14:textId="77777777" w:rsidR="007F282D" w:rsidRDefault="00D416FE">
            <w:pPr>
              <w:spacing w:before="60" w:after="60"/>
            </w:pPr>
            <w:proofErr w:type="spellStart"/>
            <w:r>
              <w:rPr>
                <w:color w:val="000000"/>
              </w:rPr>
              <w:t>LoansPQ</w:t>
            </w:r>
            <w:proofErr w:type="spellEnd"/>
            <w:r>
              <w:rPr>
                <w:color w:val="000000"/>
              </w:rPr>
              <w:t xml:space="preserve"> was upgraded from classic to modern version. The RouteOne integration itself was not changed.</w:t>
            </w:r>
          </w:p>
        </w:tc>
      </w:tr>
      <w:tr w:rsidR="007F282D" w14:paraId="56E44787" w14:textId="77777777">
        <w:tc>
          <w:tcPr>
            <w:tcW w:w="3000" w:type="dxa"/>
            <w:shd w:val="clear" w:color="auto" w:fill="F2F2F2"/>
            <w:tcMar>
              <w:top w:w="80" w:type="dxa"/>
              <w:left w:w="100" w:type="dxa"/>
              <w:bottom w:w="80" w:type="dxa"/>
              <w:right w:w="100" w:type="dxa"/>
            </w:tcMar>
            <w:vAlign w:val="center"/>
          </w:tcPr>
          <w:p w14:paraId="1D3DBEFE" w14:textId="77777777" w:rsidR="007F282D" w:rsidRDefault="00D416FE">
            <w:pPr>
              <w:spacing w:before="60" w:after="60"/>
            </w:pPr>
            <w:r>
              <w:rPr>
                <w:b/>
                <w:bCs/>
                <w:color w:val="000000"/>
              </w:rPr>
              <w:t>Residual risk (partial)</w:t>
            </w:r>
          </w:p>
        </w:tc>
        <w:tc>
          <w:tcPr>
            <w:tcW w:w="6000" w:type="dxa"/>
            <w:shd w:val="clear" w:color="auto" w:fill="F2F2F2"/>
            <w:tcMar>
              <w:top w:w="80" w:type="dxa"/>
              <w:left w:w="100" w:type="dxa"/>
              <w:bottom w:w="80" w:type="dxa"/>
              <w:right w:w="100" w:type="dxa"/>
            </w:tcMar>
            <w:vAlign w:val="center"/>
          </w:tcPr>
          <w:p w14:paraId="64D4E865" w14:textId="77777777" w:rsidR="007F282D" w:rsidRDefault="00D416FE">
            <w:pPr>
              <w:spacing w:before="60" w:after="60"/>
            </w:pPr>
            <w:r>
              <w:rPr>
                <w:color w:val="000000"/>
              </w:rPr>
              <w:t>T-RR-0001, T-RR-0006, and T-RR-0010 completed. Maintenance, data protection, and integration SLAs are defined.</w:t>
            </w:r>
          </w:p>
        </w:tc>
      </w:tr>
    </w:tbl>
    <w:p w14:paraId="0E98E1E9" w14:textId="77777777" w:rsidR="007F282D" w:rsidRDefault="007F282D">
      <w:pPr>
        <w:spacing w:after="160"/>
      </w:pPr>
    </w:p>
    <w:p w14:paraId="1A1F4F49" w14:textId="77777777" w:rsidR="007F282D" w:rsidRDefault="00D416FE">
      <w:pPr>
        <w:pStyle w:val="Heading1"/>
        <w:spacing w:before="300" w:after="120"/>
      </w:pPr>
      <w:r>
        <w:t>What We Don't Know</w:t>
      </w:r>
    </w:p>
    <w:p w14:paraId="3E315A5E" w14:textId="77777777" w:rsidR="007F282D" w:rsidRDefault="00D416FE">
      <w:pPr>
        <w:spacing w:after="100"/>
      </w:pPr>
      <w:r>
        <w:rPr>
          <w:color w:val="C00000"/>
          <w:sz w:val="22"/>
          <w:szCs w:val="22"/>
        </w:rPr>
        <w:t>The following gaps must be resolved before the Technology Review can be completed and risk ratings finalized.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7F282D" w14:paraId="55B23FB4" w14:textId="77777777">
        <w:trPr>
          <w:tblHeader/>
        </w:trPr>
        <w:tc>
          <w:tcPr>
            <w:tcW w:w="3000" w:type="dxa"/>
            <w:shd w:val="clear" w:color="auto" w:fill="1F3864"/>
            <w:tcMar>
              <w:top w:w="80" w:type="dxa"/>
              <w:left w:w="100" w:type="dxa"/>
              <w:bottom w:w="80" w:type="dxa"/>
              <w:right w:w="100" w:type="dxa"/>
            </w:tcMar>
            <w:vAlign w:val="center"/>
          </w:tcPr>
          <w:p w14:paraId="0664A07E" w14:textId="77777777" w:rsidR="007F282D" w:rsidRDefault="00D416FE">
            <w:pPr>
              <w:spacing w:before="60" w:after="60"/>
            </w:pPr>
            <w:r>
              <w:rPr>
                <w:b/>
                <w:bCs/>
                <w:color w:val="FFFFFF"/>
              </w:rPr>
              <w:t>Gap</w:t>
            </w:r>
          </w:p>
        </w:tc>
        <w:tc>
          <w:tcPr>
            <w:tcW w:w="6000" w:type="dxa"/>
            <w:shd w:val="clear" w:color="auto" w:fill="1F3864"/>
            <w:tcMar>
              <w:top w:w="80" w:type="dxa"/>
              <w:left w:w="100" w:type="dxa"/>
              <w:bottom w:w="80" w:type="dxa"/>
              <w:right w:w="100" w:type="dxa"/>
            </w:tcMar>
            <w:vAlign w:val="center"/>
          </w:tcPr>
          <w:p w14:paraId="5D6DBB2B" w14:textId="77777777" w:rsidR="007F282D" w:rsidRDefault="00D416FE">
            <w:pPr>
              <w:spacing w:before="60" w:after="60"/>
            </w:pPr>
            <w:r>
              <w:rPr>
                <w:b/>
                <w:bCs/>
                <w:color w:val="FFFFFF"/>
              </w:rPr>
              <w:t>Description</w:t>
            </w:r>
          </w:p>
        </w:tc>
      </w:tr>
      <w:tr w:rsidR="007F282D" w14:paraId="5E747E19" w14:textId="77777777">
        <w:tc>
          <w:tcPr>
            <w:tcW w:w="3000" w:type="dxa"/>
            <w:shd w:val="clear" w:color="auto" w:fill="F2F2F2"/>
            <w:tcMar>
              <w:top w:w="80" w:type="dxa"/>
              <w:left w:w="100" w:type="dxa"/>
              <w:bottom w:w="80" w:type="dxa"/>
              <w:right w:w="100" w:type="dxa"/>
            </w:tcMar>
            <w:vAlign w:val="center"/>
          </w:tcPr>
          <w:p w14:paraId="3242C97D" w14:textId="77777777" w:rsidR="007F282D" w:rsidRDefault="00D416FE">
            <w:pPr>
              <w:spacing w:before="60" w:after="60"/>
            </w:pPr>
            <w:r>
              <w:rPr>
                <w:b/>
                <w:bCs/>
                <w:color w:val="000000"/>
              </w:rPr>
              <w:t>Encryption specifics</w:t>
            </w:r>
          </w:p>
        </w:tc>
        <w:tc>
          <w:tcPr>
            <w:tcW w:w="6000" w:type="dxa"/>
            <w:shd w:val="clear" w:color="auto" w:fill="F2F2F2"/>
            <w:tcMar>
              <w:top w:w="80" w:type="dxa"/>
              <w:left w:w="100" w:type="dxa"/>
              <w:bottom w:w="80" w:type="dxa"/>
              <w:right w:w="100" w:type="dxa"/>
            </w:tcMar>
            <w:vAlign w:val="center"/>
          </w:tcPr>
          <w:p w14:paraId="473885DE" w14:textId="77777777" w:rsidR="007F282D" w:rsidRDefault="00D416FE">
            <w:pPr>
              <w:spacing w:before="60" w:after="60"/>
            </w:pPr>
            <w:r>
              <w:rPr>
                <w:color w:val="000000"/>
              </w:rPr>
              <w:t xml:space="preserve">TLS version, certificate authority, and key management for data in transit (dealer → RouteOne → </w:t>
            </w:r>
            <w:proofErr w:type="spellStart"/>
            <w:r>
              <w:rPr>
                <w:color w:val="000000"/>
              </w:rPr>
              <w:t>MeridianLink</w:t>
            </w:r>
            <w:proofErr w:type="spellEnd"/>
            <w:r>
              <w:rPr>
                <w:color w:val="000000"/>
              </w:rPr>
              <w:t>) are not documented in the current record.</w:t>
            </w:r>
          </w:p>
        </w:tc>
      </w:tr>
      <w:tr w:rsidR="007F282D" w14:paraId="68B52894" w14:textId="77777777">
        <w:tc>
          <w:tcPr>
            <w:tcW w:w="3000" w:type="dxa"/>
            <w:shd w:val="clear" w:color="auto" w:fill="FFFFFF"/>
            <w:tcMar>
              <w:top w:w="80" w:type="dxa"/>
              <w:left w:w="100" w:type="dxa"/>
              <w:bottom w:w="80" w:type="dxa"/>
              <w:right w:w="100" w:type="dxa"/>
            </w:tcMar>
            <w:vAlign w:val="center"/>
          </w:tcPr>
          <w:p w14:paraId="361666DD" w14:textId="77777777" w:rsidR="007F282D" w:rsidRDefault="00D416FE">
            <w:pPr>
              <w:spacing w:before="60" w:after="60"/>
            </w:pPr>
            <w:r>
              <w:rPr>
                <w:b/>
                <w:bCs/>
                <w:color w:val="000000"/>
              </w:rPr>
              <w:t>Dealer authentication controls</w:t>
            </w:r>
          </w:p>
        </w:tc>
        <w:tc>
          <w:tcPr>
            <w:tcW w:w="6000" w:type="dxa"/>
            <w:shd w:val="clear" w:color="auto" w:fill="FFFFFF"/>
            <w:tcMar>
              <w:top w:w="80" w:type="dxa"/>
              <w:left w:w="100" w:type="dxa"/>
              <w:bottom w:w="80" w:type="dxa"/>
              <w:right w:w="100" w:type="dxa"/>
            </w:tcMar>
            <w:vAlign w:val="center"/>
          </w:tcPr>
          <w:p w14:paraId="147507B3" w14:textId="77777777" w:rsidR="007F282D" w:rsidRDefault="00D416FE">
            <w:pPr>
              <w:spacing w:before="60" w:after="60"/>
            </w:pPr>
            <w:r>
              <w:rPr>
                <w:color w:val="000000"/>
              </w:rPr>
              <w:t>How RouteOne authenticates and authorizes dealers (MFA, credential management) is not known.</w:t>
            </w:r>
          </w:p>
        </w:tc>
      </w:tr>
      <w:tr w:rsidR="007F282D" w14:paraId="4886D992" w14:textId="77777777">
        <w:tc>
          <w:tcPr>
            <w:tcW w:w="3000" w:type="dxa"/>
            <w:shd w:val="clear" w:color="auto" w:fill="F2F2F2"/>
            <w:tcMar>
              <w:top w:w="80" w:type="dxa"/>
              <w:left w:w="100" w:type="dxa"/>
              <w:bottom w:w="80" w:type="dxa"/>
              <w:right w:w="100" w:type="dxa"/>
            </w:tcMar>
            <w:vAlign w:val="center"/>
          </w:tcPr>
          <w:p w14:paraId="08E2ABB5" w14:textId="77777777" w:rsidR="007F282D" w:rsidRDefault="00D416FE">
            <w:pPr>
              <w:spacing w:before="60" w:after="60"/>
            </w:pPr>
            <w:r>
              <w:rPr>
                <w:b/>
                <w:bCs/>
                <w:color w:val="000000"/>
              </w:rPr>
              <w:t>RouteOne data retention</w:t>
            </w:r>
          </w:p>
        </w:tc>
        <w:tc>
          <w:tcPr>
            <w:tcW w:w="6000" w:type="dxa"/>
            <w:shd w:val="clear" w:color="auto" w:fill="F2F2F2"/>
            <w:tcMar>
              <w:top w:w="80" w:type="dxa"/>
              <w:left w:w="100" w:type="dxa"/>
              <w:bottom w:w="80" w:type="dxa"/>
              <w:right w:w="100" w:type="dxa"/>
            </w:tcMar>
            <w:vAlign w:val="center"/>
          </w:tcPr>
          <w:p w14:paraId="7AE1EE7B" w14:textId="77777777" w:rsidR="007F282D" w:rsidRDefault="00D416FE">
            <w:pPr>
              <w:spacing w:before="60" w:after="60"/>
            </w:pPr>
            <w:r>
              <w:rPr>
                <w:color w:val="000000"/>
              </w:rPr>
              <w:t>How long RouteOne retains FHB customer data and the disposal process are not documented.</w:t>
            </w:r>
          </w:p>
        </w:tc>
      </w:tr>
      <w:tr w:rsidR="007F282D" w14:paraId="7CB6BD90" w14:textId="77777777">
        <w:tc>
          <w:tcPr>
            <w:tcW w:w="3000" w:type="dxa"/>
            <w:shd w:val="clear" w:color="auto" w:fill="FFFFFF"/>
            <w:tcMar>
              <w:top w:w="80" w:type="dxa"/>
              <w:left w:w="100" w:type="dxa"/>
              <w:bottom w:w="80" w:type="dxa"/>
              <w:right w:w="100" w:type="dxa"/>
            </w:tcMar>
            <w:vAlign w:val="center"/>
          </w:tcPr>
          <w:p w14:paraId="78559DA9" w14:textId="77777777" w:rsidR="007F282D" w:rsidRDefault="00D416FE">
            <w:pPr>
              <w:spacing w:before="60" w:after="60"/>
            </w:pPr>
            <w:r>
              <w:rPr>
                <w:b/>
                <w:bCs/>
                <w:color w:val="000000"/>
              </w:rPr>
              <w:t>Incident / breach history</w:t>
            </w:r>
          </w:p>
        </w:tc>
        <w:tc>
          <w:tcPr>
            <w:tcW w:w="6000" w:type="dxa"/>
            <w:shd w:val="clear" w:color="auto" w:fill="FFFFFF"/>
            <w:tcMar>
              <w:top w:w="80" w:type="dxa"/>
              <w:left w:w="100" w:type="dxa"/>
              <w:bottom w:w="80" w:type="dxa"/>
              <w:right w:w="100" w:type="dxa"/>
            </w:tcMar>
            <w:vAlign w:val="center"/>
          </w:tcPr>
          <w:p w14:paraId="078E649E" w14:textId="77777777" w:rsidR="007F282D" w:rsidRDefault="00D416FE">
            <w:pPr>
              <w:spacing w:before="60" w:after="60"/>
            </w:pPr>
            <w:r>
              <w:rPr>
                <w:color w:val="000000"/>
              </w:rPr>
              <w:t>No information on security incidents or regulatory actions against RouteOne in the past 3 years.</w:t>
            </w:r>
          </w:p>
        </w:tc>
      </w:tr>
      <w:tr w:rsidR="007F282D" w14:paraId="1647DB3E" w14:textId="77777777">
        <w:tc>
          <w:tcPr>
            <w:tcW w:w="3000" w:type="dxa"/>
            <w:shd w:val="clear" w:color="auto" w:fill="F2F2F2"/>
            <w:tcMar>
              <w:top w:w="80" w:type="dxa"/>
              <w:left w:w="100" w:type="dxa"/>
              <w:bottom w:w="80" w:type="dxa"/>
              <w:right w:w="100" w:type="dxa"/>
            </w:tcMar>
            <w:vAlign w:val="center"/>
          </w:tcPr>
          <w:p w14:paraId="0993380C" w14:textId="77777777" w:rsidR="007F282D" w:rsidRDefault="00D416FE">
            <w:pPr>
              <w:spacing w:before="60" w:after="60"/>
            </w:pPr>
            <w:r>
              <w:rPr>
                <w:b/>
                <w:bCs/>
                <w:color w:val="000000"/>
              </w:rPr>
              <w:t>SOC coverage gap (Jan–Aug 2026)</w:t>
            </w:r>
          </w:p>
        </w:tc>
        <w:tc>
          <w:tcPr>
            <w:tcW w:w="6000" w:type="dxa"/>
            <w:shd w:val="clear" w:color="auto" w:fill="F2F2F2"/>
            <w:tcMar>
              <w:top w:w="80" w:type="dxa"/>
              <w:left w:w="100" w:type="dxa"/>
              <w:bottom w:w="80" w:type="dxa"/>
              <w:right w:w="100" w:type="dxa"/>
            </w:tcMar>
            <w:vAlign w:val="center"/>
          </w:tcPr>
          <w:p w14:paraId="6FD9EC37" w14:textId="77777777" w:rsidR="007F282D" w:rsidRDefault="00D416FE">
            <w:pPr>
              <w:spacing w:before="60" w:after="60"/>
            </w:pPr>
            <w:r>
              <w:rPr>
                <w:color w:val="000000"/>
              </w:rPr>
              <w:t>The bridge letter covers only through December 31, 2025. Eight months of 2026 are not covered by any audited SOC report.</w:t>
            </w:r>
          </w:p>
        </w:tc>
      </w:tr>
      <w:tr w:rsidR="007F282D" w14:paraId="7436468E" w14:textId="77777777">
        <w:tc>
          <w:tcPr>
            <w:tcW w:w="3000" w:type="dxa"/>
            <w:shd w:val="clear" w:color="auto" w:fill="FFFFFF"/>
            <w:tcMar>
              <w:top w:w="80" w:type="dxa"/>
              <w:left w:w="100" w:type="dxa"/>
              <w:bottom w:w="80" w:type="dxa"/>
              <w:right w:w="100" w:type="dxa"/>
            </w:tcMar>
            <w:vAlign w:val="center"/>
          </w:tcPr>
          <w:p w14:paraId="5DB2844E" w14:textId="77777777" w:rsidR="007F282D" w:rsidRDefault="00D416FE">
            <w:pPr>
              <w:spacing w:before="60" w:after="60"/>
            </w:pPr>
            <w:r>
              <w:rPr>
                <w:b/>
                <w:bCs/>
                <w:color w:val="000000"/>
              </w:rPr>
              <w:lastRenderedPageBreak/>
              <w:t>RouteOne architecture documentation</w:t>
            </w:r>
          </w:p>
        </w:tc>
        <w:tc>
          <w:tcPr>
            <w:tcW w:w="6000" w:type="dxa"/>
            <w:shd w:val="clear" w:color="auto" w:fill="FFFFFF"/>
            <w:tcMar>
              <w:top w:w="80" w:type="dxa"/>
              <w:left w:w="100" w:type="dxa"/>
              <w:bottom w:w="80" w:type="dxa"/>
              <w:right w:w="100" w:type="dxa"/>
            </w:tcMar>
            <w:vAlign w:val="center"/>
          </w:tcPr>
          <w:p w14:paraId="248A99AD" w14:textId="77777777" w:rsidR="007F282D" w:rsidRDefault="00D416FE">
            <w:pPr>
              <w:spacing w:before="60" w:after="60"/>
            </w:pPr>
            <w:r>
              <w:rPr>
                <w:color w:val="000000"/>
              </w:rPr>
              <w:t>Only FHB-generated documentation exists. RouteOne has not provided its own design documentation, white papers, or vendor-authored data flow diagrams.</w:t>
            </w:r>
          </w:p>
        </w:tc>
      </w:tr>
      <w:tr w:rsidR="007F282D" w14:paraId="42DE2CDC" w14:textId="77777777">
        <w:tc>
          <w:tcPr>
            <w:tcW w:w="3000" w:type="dxa"/>
            <w:shd w:val="clear" w:color="auto" w:fill="F2F2F2"/>
            <w:tcMar>
              <w:top w:w="80" w:type="dxa"/>
              <w:left w:w="100" w:type="dxa"/>
              <w:bottom w:w="80" w:type="dxa"/>
              <w:right w:w="100" w:type="dxa"/>
            </w:tcMar>
            <w:vAlign w:val="center"/>
          </w:tcPr>
          <w:p w14:paraId="613DA514" w14:textId="77777777" w:rsidR="007F282D" w:rsidRDefault="00D416FE">
            <w:pPr>
              <w:spacing w:before="60" w:after="60"/>
            </w:pPr>
            <w:proofErr w:type="spellStart"/>
            <w:r>
              <w:rPr>
                <w:b/>
                <w:bCs/>
                <w:color w:val="000000"/>
              </w:rPr>
              <w:t>LoansPQ</w:t>
            </w:r>
            <w:proofErr w:type="spellEnd"/>
            <w:r>
              <w:rPr>
                <w:b/>
                <w:bCs/>
                <w:color w:val="000000"/>
              </w:rPr>
              <w:t xml:space="preserve"> upgrade impact</w:t>
            </w:r>
          </w:p>
        </w:tc>
        <w:tc>
          <w:tcPr>
            <w:tcW w:w="6000" w:type="dxa"/>
            <w:shd w:val="clear" w:color="auto" w:fill="F2F2F2"/>
            <w:tcMar>
              <w:top w:w="80" w:type="dxa"/>
              <w:left w:w="100" w:type="dxa"/>
              <w:bottom w:w="80" w:type="dxa"/>
              <w:right w:w="100" w:type="dxa"/>
            </w:tcMar>
            <w:vAlign w:val="center"/>
          </w:tcPr>
          <w:p w14:paraId="14F2D4E6" w14:textId="77777777" w:rsidR="007F282D" w:rsidRDefault="00D416FE">
            <w:pPr>
              <w:spacing w:before="60" w:after="60"/>
            </w:pPr>
            <w:r>
              <w:rPr>
                <w:color w:val="000000"/>
              </w:rPr>
              <w:t xml:space="preserve">The impact of the </w:t>
            </w:r>
            <w:proofErr w:type="spellStart"/>
            <w:r>
              <w:rPr>
                <w:color w:val="000000"/>
              </w:rPr>
              <w:t>LoansPQ</w:t>
            </w:r>
            <w:proofErr w:type="spellEnd"/>
            <w:r>
              <w:rPr>
                <w:color w:val="000000"/>
              </w:rPr>
              <w:t xml:space="preserve"> classic-to-modern upgrade on integration security controls has not been assessed.</w:t>
            </w:r>
          </w:p>
        </w:tc>
      </w:tr>
      <w:tr w:rsidR="007F282D" w14:paraId="7D3550DF" w14:textId="77777777">
        <w:tc>
          <w:tcPr>
            <w:tcW w:w="3000" w:type="dxa"/>
            <w:shd w:val="clear" w:color="auto" w:fill="FFFFFF"/>
            <w:tcMar>
              <w:top w:w="80" w:type="dxa"/>
              <w:left w:w="100" w:type="dxa"/>
              <w:bottom w:w="80" w:type="dxa"/>
              <w:right w:w="100" w:type="dxa"/>
            </w:tcMar>
            <w:vAlign w:val="center"/>
          </w:tcPr>
          <w:p w14:paraId="606BBB54" w14:textId="77777777" w:rsidR="007F282D" w:rsidRDefault="00D416FE">
            <w:pPr>
              <w:spacing w:before="60" w:after="60"/>
            </w:pPr>
            <w:r>
              <w:rPr>
                <w:b/>
                <w:bCs/>
                <w:color w:val="000000"/>
              </w:rPr>
              <w:t>PII data elements retained by RouteOne</w:t>
            </w:r>
          </w:p>
        </w:tc>
        <w:tc>
          <w:tcPr>
            <w:tcW w:w="6000" w:type="dxa"/>
            <w:shd w:val="clear" w:color="auto" w:fill="FFFFFF"/>
            <w:tcMar>
              <w:top w:w="80" w:type="dxa"/>
              <w:left w:w="100" w:type="dxa"/>
              <w:bottom w:w="80" w:type="dxa"/>
              <w:right w:w="100" w:type="dxa"/>
            </w:tcMar>
            <w:vAlign w:val="center"/>
          </w:tcPr>
          <w:p w14:paraId="1FFE6354" w14:textId="77777777" w:rsidR="007F282D" w:rsidRDefault="00D416FE">
            <w:pPr>
              <w:spacing w:before="60" w:after="60"/>
            </w:pPr>
            <w:r>
              <w:rPr>
                <w:color w:val="000000"/>
              </w:rPr>
              <w:t>Exact data elements RouteOne stores or logs during transmission (versus strictly passing through) are not confirmed.</w:t>
            </w:r>
          </w:p>
        </w:tc>
      </w:tr>
      <w:tr w:rsidR="007F282D" w14:paraId="17901B4B" w14:textId="77777777">
        <w:tc>
          <w:tcPr>
            <w:tcW w:w="3000" w:type="dxa"/>
            <w:shd w:val="clear" w:color="auto" w:fill="F2F2F2"/>
            <w:tcMar>
              <w:top w:w="80" w:type="dxa"/>
              <w:left w:w="100" w:type="dxa"/>
              <w:bottom w:w="80" w:type="dxa"/>
              <w:right w:w="100" w:type="dxa"/>
            </w:tcMar>
            <w:vAlign w:val="center"/>
          </w:tcPr>
          <w:p w14:paraId="016C8688" w14:textId="77777777" w:rsidR="007F282D" w:rsidRDefault="00D416FE">
            <w:pPr>
              <w:spacing w:before="60" w:after="60"/>
            </w:pPr>
            <w:r>
              <w:rPr>
                <w:b/>
                <w:bCs/>
                <w:color w:val="000000"/>
              </w:rPr>
              <w:t>Subcontractor / fourth-party risk</w:t>
            </w:r>
          </w:p>
        </w:tc>
        <w:tc>
          <w:tcPr>
            <w:tcW w:w="6000" w:type="dxa"/>
            <w:shd w:val="clear" w:color="auto" w:fill="F2F2F2"/>
            <w:tcMar>
              <w:top w:w="80" w:type="dxa"/>
              <w:left w:w="100" w:type="dxa"/>
              <w:bottom w:w="80" w:type="dxa"/>
              <w:right w:w="100" w:type="dxa"/>
            </w:tcMar>
            <w:vAlign w:val="center"/>
          </w:tcPr>
          <w:p w14:paraId="3B71CB46" w14:textId="77777777" w:rsidR="007F282D" w:rsidRDefault="00D416FE">
            <w:pPr>
              <w:spacing w:before="60" w:after="60"/>
            </w:pPr>
            <w:r>
              <w:rPr>
                <w:color w:val="000000"/>
              </w:rPr>
              <w:t>Whether RouteOne uses subcontractors that process or have access to FHB customer data is not known.</w:t>
            </w:r>
          </w:p>
        </w:tc>
      </w:tr>
    </w:tbl>
    <w:p w14:paraId="0E73C98A" w14:textId="77777777" w:rsidR="007F282D" w:rsidRDefault="007F282D">
      <w:pPr>
        <w:spacing w:after="160"/>
      </w:pPr>
    </w:p>
    <w:p w14:paraId="0B077CF1" w14:textId="77777777" w:rsidR="007F282D" w:rsidRDefault="00D416FE">
      <w:pPr>
        <w:pStyle w:val="Heading1"/>
        <w:spacing w:before="300" w:after="120"/>
      </w:pPr>
      <w:r>
        <w:t>Information Needed to Complete the Review</w:t>
      </w:r>
    </w:p>
    <w:p w14:paraId="3950D9CE" w14:textId="77777777" w:rsidR="007F282D" w:rsidRDefault="007F282D">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7F282D" w14:paraId="14628C2C" w14:textId="77777777">
        <w:trPr>
          <w:tblHeader/>
        </w:trPr>
        <w:tc>
          <w:tcPr>
            <w:tcW w:w="3000" w:type="dxa"/>
            <w:shd w:val="clear" w:color="auto" w:fill="1F3864"/>
            <w:tcMar>
              <w:top w:w="80" w:type="dxa"/>
              <w:left w:w="100" w:type="dxa"/>
              <w:bottom w:w="80" w:type="dxa"/>
              <w:right w:w="100" w:type="dxa"/>
            </w:tcMar>
            <w:vAlign w:val="center"/>
          </w:tcPr>
          <w:p w14:paraId="6DC08CC6" w14:textId="77777777" w:rsidR="007F282D" w:rsidRDefault="00D416FE">
            <w:pPr>
              <w:spacing w:before="60" w:after="60"/>
            </w:pPr>
            <w:r>
              <w:rPr>
                <w:b/>
                <w:bCs/>
                <w:color w:val="FFFFFF"/>
              </w:rPr>
              <w:t>Item Required</w:t>
            </w:r>
          </w:p>
        </w:tc>
        <w:tc>
          <w:tcPr>
            <w:tcW w:w="6000" w:type="dxa"/>
            <w:shd w:val="clear" w:color="auto" w:fill="1F3864"/>
            <w:tcMar>
              <w:top w:w="80" w:type="dxa"/>
              <w:left w:w="100" w:type="dxa"/>
              <w:bottom w:w="80" w:type="dxa"/>
              <w:right w:w="100" w:type="dxa"/>
            </w:tcMar>
            <w:vAlign w:val="center"/>
          </w:tcPr>
          <w:p w14:paraId="0EE57913" w14:textId="77777777" w:rsidR="007F282D" w:rsidRDefault="00D416FE">
            <w:pPr>
              <w:spacing w:before="60" w:after="60"/>
            </w:pPr>
            <w:r>
              <w:rPr>
                <w:b/>
                <w:bCs/>
                <w:color w:val="FFFFFF"/>
              </w:rPr>
              <w:t>Purpose / Rationale</w:t>
            </w:r>
          </w:p>
        </w:tc>
      </w:tr>
      <w:tr w:rsidR="007F282D" w14:paraId="3B0DA7B2" w14:textId="77777777">
        <w:tc>
          <w:tcPr>
            <w:tcW w:w="3000" w:type="dxa"/>
            <w:shd w:val="clear" w:color="auto" w:fill="F2F2F2"/>
            <w:tcMar>
              <w:top w:w="80" w:type="dxa"/>
              <w:left w:w="100" w:type="dxa"/>
              <w:bottom w:w="80" w:type="dxa"/>
              <w:right w:w="100" w:type="dxa"/>
            </w:tcMar>
            <w:vAlign w:val="center"/>
          </w:tcPr>
          <w:p w14:paraId="23A8254A" w14:textId="77777777" w:rsidR="007F282D" w:rsidRDefault="00D416FE">
            <w:pPr>
              <w:spacing w:before="60" w:after="60"/>
            </w:pPr>
            <w:r>
              <w:rPr>
                <w:b/>
                <w:bCs/>
                <w:color w:val="000000"/>
              </w:rPr>
              <w:t>Updated SOC bridge letter or new SOC 2 report</w:t>
            </w:r>
          </w:p>
        </w:tc>
        <w:tc>
          <w:tcPr>
            <w:tcW w:w="6000" w:type="dxa"/>
            <w:shd w:val="clear" w:color="auto" w:fill="F2F2F2"/>
            <w:tcMar>
              <w:top w:w="80" w:type="dxa"/>
              <w:left w:w="100" w:type="dxa"/>
              <w:bottom w:w="80" w:type="dxa"/>
              <w:right w:w="100" w:type="dxa"/>
            </w:tcMar>
            <w:vAlign w:val="center"/>
          </w:tcPr>
          <w:p w14:paraId="04AB4F4B" w14:textId="77777777" w:rsidR="007F282D" w:rsidRDefault="00D416FE">
            <w:pPr>
              <w:spacing w:before="60" w:after="60"/>
            </w:pPr>
            <w:r>
              <w:rPr>
                <w:color w:val="000000"/>
              </w:rPr>
              <w:t>Coverage through at minimum Q1/Q2 2026 to close the gap since December 2025. Required before risk rating can be finalized.</w:t>
            </w:r>
          </w:p>
        </w:tc>
      </w:tr>
      <w:tr w:rsidR="007F282D" w14:paraId="71A190F5" w14:textId="77777777">
        <w:tc>
          <w:tcPr>
            <w:tcW w:w="3000" w:type="dxa"/>
            <w:shd w:val="clear" w:color="auto" w:fill="FFFFFF"/>
            <w:tcMar>
              <w:top w:w="80" w:type="dxa"/>
              <w:left w:w="100" w:type="dxa"/>
              <w:bottom w:w="80" w:type="dxa"/>
              <w:right w:w="100" w:type="dxa"/>
            </w:tcMar>
            <w:vAlign w:val="center"/>
          </w:tcPr>
          <w:p w14:paraId="15E71B07" w14:textId="77777777" w:rsidR="007F282D" w:rsidRDefault="00D416FE">
            <w:pPr>
              <w:spacing w:before="60" w:after="60"/>
            </w:pPr>
            <w:r>
              <w:rPr>
                <w:b/>
                <w:bCs/>
                <w:color w:val="000000"/>
              </w:rPr>
              <w:t>RouteOne-authored architecture documentation</w:t>
            </w:r>
          </w:p>
        </w:tc>
        <w:tc>
          <w:tcPr>
            <w:tcW w:w="6000" w:type="dxa"/>
            <w:shd w:val="clear" w:color="auto" w:fill="FFFFFF"/>
            <w:tcMar>
              <w:top w:w="80" w:type="dxa"/>
              <w:left w:w="100" w:type="dxa"/>
              <w:bottom w:w="80" w:type="dxa"/>
              <w:right w:w="100" w:type="dxa"/>
            </w:tcMar>
            <w:vAlign w:val="center"/>
          </w:tcPr>
          <w:p w14:paraId="5E049A55" w14:textId="77777777" w:rsidR="007F282D" w:rsidRDefault="00D416FE">
            <w:pPr>
              <w:spacing w:before="60" w:after="60"/>
            </w:pPr>
            <w:r>
              <w:rPr>
                <w:color w:val="000000"/>
              </w:rPr>
              <w:t>Vendor-provided design documentation, data flow diagrams, or white papers. Needed to validate FHB's understanding of the data flow and confirm no undocumented data handling.</w:t>
            </w:r>
          </w:p>
        </w:tc>
      </w:tr>
      <w:tr w:rsidR="007F282D" w14:paraId="7B971D7F" w14:textId="77777777">
        <w:tc>
          <w:tcPr>
            <w:tcW w:w="3000" w:type="dxa"/>
            <w:shd w:val="clear" w:color="auto" w:fill="F2F2F2"/>
            <w:tcMar>
              <w:top w:w="80" w:type="dxa"/>
              <w:left w:w="100" w:type="dxa"/>
              <w:bottom w:w="80" w:type="dxa"/>
              <w:right w:w="100" w:type="dxa"/>
            </w:tcMar>
            <w:vAlign w:val="center"/>
          </w:tcPr>
          <w:p w14:paraId="5E42FE4A" w14:textId="77777777" w:rsidR="007F282D" w:rsidRDefault="00D416FE">
            <w:pPr>
              <w:spacing w:before="60" w:after="60"/>
            </w:pPr>
            <w:r>
              <w:rPr>
                <w:b/>
                <w:bCs/>
                <w:color w:val="000000"/>
              </w:rPr>
              <w:t>Encryption specification</w:t>
            </w:r>
          </w:p>
        </w:tc>
        <w:tc>
          <w:tcPr>
            <w:tcW w:w="6000" w:type="dxa"/>
            <w:shd w:val="clear" w:color="auto" w:fill="F2F2F2"/>
            <w:tcMar>
              <w:top w:w="80" w:type="dxa"/>
              <w:left w:w="100" w:type="dxa"/>
              <w:bottom w:w="80" w:type="dxa"/>
              <w:right w:w="100" w:type="dxa"/>
            </w:tcMar>
            <w:vAlign w:val="center"/>
          </w:tcPr>
          <w:p w14:paraId="4B223D51" w14:textId="77777777" w:rsidR="007F282D" w:rsidRDefault="00D416FE">
            <w:pPr>
              <w:spacing w:before="60" w:after="60"/>
            </w:pPr>
            <w:r>
              <w:rPr>
                <w:color w:val="000000"/>
              </w:rPr>
              <w:t xml:space="preserve">Confirmation of TLS version, certificate authority, and key management for data in transit (dealer → RouteOne → </w:t>
            </w:r>
            <w:proofErr w:type="spellStart"/>
            <w:r>
              <w:rPr>
                <w:color w:val="000000"/>
              </w:rPr>
              <w:t>MeridianLink</w:t>
            </w:r>
            <w:proofErr w:type="spellEnd"/>
            <w:r>
              <w:rPr>
                <w:color w:val="000000"/>
              </w:rPr>
              <w:t>). Focus: data at rest within RouteOne's systems during processing.</w:t>
            </w:r>
          </w:p>
        </w:tc>
      </w:tr>
      <w:tr w:rsidR="007F282D" w14:paraId="0E345327" w14:textId="77777777">
        <w:tc>
          <w:tcPr>
            <w:tcW w:w="3000" w:type="dxa"/>
            <w:shd w:val="clear" w:color="auto" w:fill="FFFFFF"/>
            <w:tcMar>
              <w:top w:w="80" w:type="dxa"/>
              <w:left w:w="100" w:type="dxa"/>
              <w:bottom w:w="80" w:type="dxa"/>
              <w:right w:w="100" w:type="dxa"/>
            </w:tcMar>
            <w:vAlign w:val="center"/>
          </w:tcPr>
          <w:p w14:paraId="6F537F81" w14:textId="77777777" w:rsidR="007F282D" w:rsidRDefault="00D416FE">
            <w:pPr>
              <w:spacing w:before="60" w:after="60"/>
            </w:pPr>
            <w:r>
              <w:rPr>
                <w:b/>
                <w:bCs/>
                <w:color w:val="000000"/>
              </w:rPr>
              <w:t>Dealer authentication controls</w:t>
            </w:r>
          </w:p>
        </w:tc>
        <w:tc>
          <w:tcPr>
            <w:tcW w:w="6000" w:type="dxa"/>
            <w:shd w:val="clear" w:color="auto" w:fill="FFFFFF"/>
            <w:tcMar>
              <w:top w:w="80" w:type="dxa"/>
              <w:left w:w="100" w:type="dxa"/>
              <w:bottom w:w="80" w:type="dxa"/>
              <w:right w:w="100" w:type="dxa"/>
            </w:tcMar>
            <w:vAlign w:val="center"/>
          </w:tcPr>
          <w:p w14:paraId="714F6721" w14:textId="77777777" w:rsidR="007F282D" w:rsidRDefault="00D416FE">
            <w:pPr>
              <w:spacing w:before="60" w:after="60"/>
            </w:pPr>
            <w:r>
              <w:rPr>
                <w:color w:val="000000"/>
              </w:rPr>
              <w:t>Documentation of dealer authentication requirements (MFA, credential standards) and how access is provisioned and revoked.</w:t>
            </w:r>
          </w:p>
        </w:tc>
      </w:tr>
      <w:tr w:rsidR="007F282D" w14:paraId="55B8C447" w14:textId="77777777">
        <w:tc>
          <w:tcPr>
            <w:tcW w:w="3000" w:type="dxa"/>
            <w:shd w:val="clear" w:color="auto" w:fill="F2F2F2"/>
            <w:tcMar>
              <w:top w:w="80" w:type="dxa"/>
              <w:left w:w="100" w:type="dxa"/>
              <w:bottom w:w="80" w:type="dxa"/>
              <w:right w:w="100" w:type="dxa"/>
            </w:tcMar>
            <w:vAlign w:val="center"/>
          </w:tcPr>
          <w:p w14:paraId="0866C3E2" w14:textId="77777777" w:rsidR="007F282D" w:rsidRDefault="00D416FE">
            <w:pPr>
              <w:spacing w:before="60" w:after="60"/>
            </w:pPr>
            <w:r>
              <w:rPr>
                <w:b/>
                <w:bCs/>
                <w:color w:val="000000"/>
              </w:rPr>
              <w:t>Data retention and disposal policy</w:t>
            </w:r>
          </w:p>
        </w:tc>
        <w:tc>
          <w:tcPr>
            <w:tcW w:w="6000" w:type="dxa"/>
            <w:shd w:val="clear" w:color="auto" w:fill="F2F2F2"/>
            <w:tcMar>
              <w:top w:w="80" w:type="dxa"/>
              <w:left w:w="100" w:type="dxa"/>
              <w:bottom w:w="80" w:type="dxa"/>
              <w:right w:w="100" w:type="dxa"/>
            </w:tcMar>
            <w:vAlign w:val="center"/>
          </w:tcPr>
          <w:p w14:paraId="697557DE" w14:textId="77777777" w:rsidR="007F282D" w:rsidRDefault="00D416FE">
            <w:pPr>
              <w:spacing w:before="60" w:after="60"/>
            </w:pPr>
            <w:r>
              <w:rPr>
                <w:color w:val="000000"/>
              </w:rPr>
              <w:t>Documented retention periods and disposal procedures for FHB customer PII processed through RouteOne.</w:t>
            </w:r>
          </w:p>
        </w:tc>
      </w:tr>
      <w:tr w:rsidR="007F282D" w14:paraId="6CA6A03D" w14:textId="77777777">
        <w:tc>
          <w:tcPr>
            <w:tcW w:w="3000" w:type="dxa"/>
            <w:shd w:val="clear" w:color="auto" w:fill="FFFFFF"/>
            <w:tcMar>
              <w:top w:w="80" w:type="dxa"/>
              <w:left w:w="100" w:type="dxa"/>
              <w:bottom w:w="80" w:type="dxa"/>
              <w:right w:w="100" w:type="dxa"/>
            </w:tcMar>
            <w:vAlign w:val="center"/>
          </w:tcPr>
          <w:p w14:paraId="2C4EAF76" w14:textId="77777777" w:rsidR="007F282D" w:rsidRDefault="00D416FE">
            <w:pPr>
              <w:spacing w:before="60" w:after="60"/>
            </w:pPr>
            <w:r>
              <w:rPr>
                <w:b/>
                <w:bCs/>
                <w:color w:val="000000"/>
              </w:rPr>
              <w:t>Security incident history (past 3 years)</w:t>
            </w:r>
          </w:p>
        </w:tc>
        <w:tc>
          <w:tcPr>
            <w:tcW w:w="6000" w:type="dxa"/>
            <w:shd w:val="clear" w:color="auto" w:fill="FFFFFF"/>
            <w:tcMar>
              <w:top w:w="80" w:type="dxa"/>
              <w:left w:w="100" w:type="dxa"/>
              <w:bottom w:w="80" w:type="dxa"/>
              <w:right w:w="100" w:type="dxa"/>
            </w:tcMar>
            <w:vAlign w:val="center"/>
          </w:tcPr>
          <w:p w14:paraId="61AE0946" w14:textId="77777777" w:rsidR="007F282D" w:rsidRDefault="00D416FE">
            <w:pPr>
              <w:spacing w:before="60" w:after="60"/>
            </w:pPr>
            <w:r>
              <w:rPr>
                <w:color w:val="000000"/>
              </w:rPr>
              <w:t>Any incidents, breaches, regulatory actions, or material control failures from 2023 to present.</w:t>
            </w:r>
          </w:p>
        </w:tc>
      </w:tr>
      <w:tr w:rsidR="007F282D" w14:paraId="5732AB90" w14:textId="77777777">
        <w:tc>
          <w:tcPr>
            <w:tcW w:w="3000" w:type="dxa"/>
            <w:shd w:val="clear" w:color="auto" w:fill="F2F2F2"/>
            <w:tcMar>
              <w:top w:w="80" w:type="dxa"/>
              <w:left w:w="100" w:type="dxa"/>
              <w:bottom w:w="80" w:type="dxa"/>
              <w:right w:w="100" w:type="dxa"/>
            </w:tcMar>
            <w:vAlign w:val="center"/>
          </w:tcPr>
          <w:p w14:paraId="4F5E2DE2" w14:textId="77777777" w:rsidR="007F282D" w:rsidRDefault="00D416FE">
            <w:pPr>
              <w:spacing w:before="60" w:after="60"/>
            </w:pPr>
            <w:r>
              <w:rPr>
                <w:b/>
                <w:bCs/>
                <w:color w:val="000000"/>
              </w:rPr>
              <w:t>Subcontractor list</w:t>
            </w:r>
          </w:p>
        </w:tc>
        <w:tc>
          <w:tcPr>
            <w:tcW w:w="6000" w:type="dxa"/>
            <w:shd w:val="clear" w:color="auto" w:fill="F2F2F2"/>
            <w:tcMar>
              <w:top w:w="80" w:type="dxa"/>
              <w:left w:w="100" w:type="dxa"/>
              <w:bottom w:w="80" w:type="dxa"/>
              <w:right w:w="100" w:type="dxa"/>
            </w:tcMar>
            <w:vAlign w:val="center"/>
          </w:tcPr>
          <w:p w14:paraId="6B131C54" w14:textId="77777777" w:rsidR="007F282D" w:rsidRDefault="00D416FE">
            <w:pPr>
              <w:spacing w:before="60" w:after="60"/>
            </w:pPr>
            <w:r>
              <w:rPr>
                <w:color w:val="000000"/>
              </w:rPr>
              <w:t>List of subcontractors with access to FHB customer data, and whether they are subject to equivalent security requirements.</w:t>
            </w:r>
          </w:p>
        </w:tc>
      </w:tr>
      <w:tr w:rsidR="007F282D" w14:paraId="3162CE52" w14:textId="77777777">
        <w:tc>
          <w:tcPr>
            <w:tcW w:w="3000" w:type="dxa"/>
            <w:shd w:val="clear" w:color="auto" w:fill="FFFFFF"/>
            <w:tcMar>
              <w:top w:w="80" w:type="dxa"/>
              <w:left w:w="100" w:type="dxa"/>
              <w:bottom w:w="80" w:type="dxa"/>
              <w:right w:w="100" w:type="dxa"/>
            </w:tcMar>
            <w:vAlign w:val="center"/>
          </w:tcPr>
          <w:p w14:paraId="4DECA6A0" w14:textId="77777777" w:rsidR="007F282D" w:rsidRDefault="00D416FE">
            <w:pPr>
              <w:spacing w:before="60" w:after="60"/>
            </w:pPr>
            <w:r>
              <w:rPr>
                <w:b/>
                <w:bCs/>
                <w:color w:val="000000"/>
              </w:rPr>
              <w:t>Full review of 2025 SOC 2 Type II report</w:t>
            </w:r>
          </w:p>
        </w:tc>
        <w:tc>
          <w:tcPr>
            <w:tcW w:w="6000" w:type="dxa"/>
            <w:shd w:val="clear" w:color="auto" w:fill="FFFFFF"/>
            <w:tcMar>
              <w:top w:w="80" w:type="dxa"/>
              <w:left w:w="100" w:type="dxa"/>
              <w:bottom w:w="80" w:type="dxa"/>
              <w:right w:w="100" w:type="dxa"/>
            </w:tcMar>
            <w:vAlign w:val="center"/>
          </w:tcPr>
          <w:p w14:paraId="0AC136DF" w14:textId="77777777" w:rsidR="007F282D" w:rsidRDefault="00D416FE">
            <w:pPr>
              <w:spacing w:before="60" w:after="60"/>
            </w:pPr>
            <w:r>
              <w:rPr>
                <w:color w:val="000000"/>
              </w:rPr>
              <w:t>Internal review of the full report (already in Archer) focusing on: encryption controls, access management, data transmission security, and any noted exceptions or management responses.</w:t>
            </w:r>
          </w:p>
        </w:tc>
      </w:tr>
    </w:tbl>
    <w:p w14:paraId="3691FA4E" w14:textId="77777777" w:rsidR="007F282D" w:rsidRDefault="007F282D">
      <w:pPr>
        <w:spacing w:after="160"/>
      </w:pPr>
    </w:p>
    <w:p w14:paraId="193C4600" w14:textId="77777777" w:rsidR="007F282D" w:rsidRDefault="00D416FE">
      <w:pPr>
        <w:pStyle w:val="Heading1"/>
        <w:spacing w:before="300" w:after="120"/>
      </w:pPr>
      <w:r>
        <w:lastRenderedPageBreak/>
        <w:t>Next Steps</w:t>
      </w:r>
    </w:p>
    <w:p w14:paraId="3856224D" w14:textId="77777777" w:rsidR="007F282D" w:rsidRDefault="007F282D">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7F282D" w14:paraId="2DD8A537" w14:textId="77777777">
        <w:trPr>
          <w:tblHeader/>
        </w:trPr>
        <w:tc>
          <w:tcPr>
            <w:tcW w:w="2800" w:type="dxa"/>
            <w:shd w:val="clear" w:color="auto" w:fill="1F3864"/>
            <w:tcMar>
              <w:top w:w="80" w:type="dxa"/>
              <w:left w:w="100" w:type="dxa"/>
              <w:bottom w:w="80" w:type="dxa"/>
              <w:right w:w="100" w:type="dxa"/>
            </w:tcMar>
            <w:vAlign w:val="center"/>
          </w:tcPr>
          <w:p w14:paraId="5B6EB591" w14:textId="77777777" w:rsidR="007F282D" w:rsidRDefault="00D416FE">
            <w:pPr>
              <w:spacing w:before="60" w:after="60"/>
            </w:pPr>
            <w:r>
              <w:rPr>
                <w:b/>
                <w:bCs/>
                <w:color w:val="FFFFFF"/>
              </w:rPr>
              <w:t>Owner</w:t>
            </w:r>
          </w:p>
        </w:tc>
        <w:tc>
          <w:tcPr>
            <w:tcW w:w="6200" w:type="dxa"/>
            <w:shd w:val="clear" w:color="auto" w:fill="1F3864"/>
            <w:tcMar>
              <w:top w:w="80" w:type="dxa"/>
              <w:left w:w="100" w:type="dxa"/>
              <w:bottom w:w="80" w:type="dxa"/>
              <w:right w:w="100" w:type="dxa"/>
            </w:tcMar>
            <w:vAlign w:val="center"/>
          </w:tcPr>
          <w:p w14:paraId="41387476" w14:textId="77777777" w:rsidR="007F282D" w:rsidRDefault="00D416FE">
            <w:pPr>
              <w:spacing w:before="60" w:after="60"/>
            </w:pPr>
            <w:r>
              <w:rPr>
                <w:b/>
                <w:bCs/>
                <w:color w:val="FFFFFF"/>
              </w:rPr>
              <w:t>Action</w:t>
            </w:r>
          </w:p>
        </w:tc>
      </w:tr>
      <w:tr w:rsidR="007F282D" w14:paraId="0DB5AEF0" w14:textId="77777777">
        <w:tc>
          <w:tcPr>
            <w:tcW w:w="2800" w:type="dxa"/>
            <w:shd w:val="clear" w:color="auto" w:fill="F2F2F2"/>
            <w:tcMar>
              <w:top w:w="80" w:type="dxa"/>
              <w:left w:w="100" w:type="dxa"/>
              <w:bottom w:w="80" w:type="dxa"/>
              <w:right w:w="100" w:type="dxa"/>
            </w:tcMar>
            <w:vAlign w:val="center"/>
          </w:tcPr>
          <w:p w14:paraId="6B46FA5B" w14:textId="77777777" w:rsidR="007F282D" w:rsidRDefault="00D416FE">
            <w:pPr>
              <w:spacing w:before="60" w:after="60"/>
            </w:pPr>
            <w:r>
              <w:rPr>
                <w:color w:val="000000"/>
              </w:rPr>
              <w:t>Mike Dulaney (Dealer Division)</w:t>
            </w:r>
          </w:p>
        </w:tc>
        <w:tc>
          <w:tcPr>
            <w:tcW w:w="6200" w:type="dxa"/>
            <w:shd w:val="clear" w:color="auto" w:fill="F2F2F2"/>
            <w:tcMar>
              <w:top w:w="80" w:type="dxa"/>
              <w:left w:w="100" w:type="dxa"/>
              <w:bottom w:w="80" w:type="dxa"/>
              <w:right w:w="100" w:type="dxa"/>
            </w:tcMar>
            <w:vAlign w:val="center"/>
          </w:tcPr>
          <w:p w14:paraId="1CFF6AEC" w14:textId="77777777" w:rsidR="007F282D" w:rsidRDefault="00D416FE">
            <w:pPr>
              <w:spacing w:before="60" w:after="60"/>
            </w:pPr>
            <w:r>
              <w:rPr>
                <w:color w:val="000000"/>
              </w:rPr>
              <w:t>Send all RouteOne documentation and upload to Archer (committed at Aug 4 meeting).</w:t>
            </w:r>
          </w:p>
        </w:tc>
      </w:tr>
      <w:tr w:rsidR="007F282D" w14:paraId="178936AE" w14:textId="77777777">
        <w:tc>
          <w:tcPr>
            <w:tcW w:w="2800" w:type="dxa"/>
            <w:shd w:val="clear" w:color="auto" w:fill="FFFFFF"/>
            <w:tcMar>
              <w:top w:w="80" w:type="dxa"/>
              <w:left w:w="100" w:type="dxa"/>
              <w:bottom w:w="80" w:type="dxa"/>
              <w:right w:w="100" w:type="dxa"/>
            </w:tcMar>
            <w:vAlign w:val="center"/>
          </w:tcPr>
          <w:p w14:paraId="0E04E071" w14:textId="77777777" w:rsidR="007F282D" w:rsidRDefault="00D416FE">
            <w:pPr>
              <w:spacing w:before="60" w:after="60"/>
            </w:pPr>
            <w:r>
              <w:rPr>
                <w:color w:val="000000"/>
              </w:rPr>
              <w:t>Reviewer (Cyber Architecture)</w:t>
            </w:r>
          </w:p>
        </w:tc>
        <w:tc>
          <w:tcPr>
            <w:tcW w:w="6200" w:type="dxa"/>
            <w:shd w:val="clear" w:color="auto" w:fill="FFFFFF"/>
            <w:tcMar>
              <w:top w:w="80" w:type="dxa"/>
              <w:left w:w="100" w:type="dxa"/>
              <w:bottom w:w="80" w:type="dxa"/>
              <w:right w:w="100" w:type="dxa"/>
            </w:tcMar>
            <w:vAlign w:val="center"/>
          </w:tcPr>
          <w:p w14:paraId="6C230BD1" w14:textId="77777777" w:rsidR="007F282D" w:rsidRDefault="00D416FE">
            <w:pPr>
              <w:spacing w:before="60" w:after="60"/>
            </w:pPr>
            <w:r>
              <w:rPr>
                <w:color w:val="000000"/>
              </w:rPr>
              <w:t>Review full 2025 SOC 2 Type II report and FHB-generated network diagram; document findings and open questions.</w:t>
            </w:r>
          </w:p>
        </w:tc>
      </w:tr>
      <w:tr w:rsidR="007F282D" w14:paraId="4DC2D573" w14:textId="77777777">
        <w:tc>
          <w:tcPr>
            <w:tcW w:w="2800" w:type="dxa"/>
            <w:shd w:val="clear" w:color="auto" w:fill="F2F2F2"/>
            <w:tcMar>
              <w:top w:w="80" w:type="dxa"/>
              <w:left w:w="100" w:type="dxa"/>
              <w:bottom w:w="80" w:type="dxa"/>
              <w:right w:w="100" w:type="dxa"/>
            </w:tcMar>
            <w:vAlign w:val="center"/>
          </w:tcPr>
          <w:p w14:paraId="06037E77" w14:textId="77777777" w:rsidR="007F282D" w:rsidRDefault="00D416FE">
            <w:pPr>
              <w:spacing w:before="60" w:after="60"/>
            </w:pPr>
            <w:r>
              <w:rPr>
                <w:color w:val="000000"/>
              </w:rPr>
              <w:t>Reviewer (Cyber Architecture)</w:t>
            </w:r>
          </w:p>
        </w:tc>
        <w:tc>
          <w:tcPr>
            <w:tcW w:w="6200" w:type="dxa"/>
            <w:shd w:val="clear" w:color="auto" w:fill="F2F2F2"/>
            <w:tcMar>
              <w:top w:w="80" w:type="dxa"/>
              <w:left w:w="100" w:type="dxa"/>
              <w:bottom w:w="80" w:type="dxa"/>
              <w:right w:w="100" w:type="dxa"/>
            </w:tcMar>
            <w:vAlign w:val="center"/>
          </w:tcPr>
          <w:p w14:paraId="4F17591F" w14:textId="77777777" w:rsidR="007F282D" w:rsidRDefault="00D416FE">
            <w:pPr>
              <w:spacing w:before="60" w:after="60"/>
            </w:pPr>
            <w:r>
              <w:rPr>
                <w:color w:val="000000"/>
              </w:rPr>
              <w:t>Determine whether bridge letter gap (Jan–Aug 2026) is acceptable or requires updated documentation before completing the review.</w:t>
            </w:r>
          </w:p>
        </w:tc>
      </w:tr>
      <w:tr w:rsidR="007F282D" w14:paraId="557B53C2" w14:textId="77777777">
        <w:tc>
          <w:tcPr>
            <w:tcW w:w="2800" w:type="dxa"/>
            <w:shd w:val="clear" w:color="auto" w:fill="FFFFFF"/>
            <w:tcMar>
              <w:top w:w="80" w:type="dxa"/>
              <w:left w:w="100" w:type="dxa"/>
              <w:bottom w:w="80" w:type="dxa"/>
              <w:right w:w="100" w:type="dxa"/>
            </w:tcMar>
            <w:vAlign w:val="center"/>
          </w:tcPr>
          <w:p w14:paraId="468378CA" w14:textId="77777777" w:rsidR="007F282D" w:rsidRDefault="00D416FE">
            <w:pPr>
              <w:spacing w:before="60" w:after="60"/>
            </w:pPr>
            <w:r>
              <w:rPr>
                <w:color w:val="000000"/>
              </w:rPr>
              <w:t>Mike Dulaney / RouteOne</w:t>
            </w:r>
          </w:p>
        </w:tc>
        <w:tc>
          <w:tcPr>
            <w:tcW w:w="6200" w:type="dxa"/>
            <w:shd w:val="clear" w:color="auto" w:fill="FFFFFF"/>
            <w:tcMar>
              <w:top w:w="80" w:type="dxa"/>
              <w:left w:w="100" w:type="dxa"/>
              <w:bottom w:w="80" w:type="dxa"/>
              <w:right w:w="100" w:type="dxa"/>
            </w:tcMar>
            <w:vAlign w:val="center"/>
          </w:tcPr>
          <w:p w14:paraId="3CBDB952" w14:textId="77777777" w:rsidR="007F282D" w:rsidRDefault="00D416FE">
            <w:pPr>
              <w:spacing w:before="60" w:after="60"/>
            </w:pPr>
            <w:r>
              <w:rPr>
                <w:color w:val="000000"/>
              </w:rPr>
              <w:t>Request RouteOne-authored architecture documentation and encryption specification. Facilitate vendor meeting if questions remain after document review.</w:t>
            </w:r>
          </w:p>
        </w:tc>
      </w:tr>
      <w:tr w:rsidR="007F282D" w14:paraId="21266191" w14:textId="77777777">
        <w:tc>
          <w:tcPr>
            <w:tcW w:w="2800" w:type="dxa"/>
            <w:shd w:val="clear" w:color="auto" w:fill="F2F2F2"/>
            <w:tcMar>
              <w:top w:w="80" w:type="dxa"/>
              <w:left w:w="100" w:type="dxa"/>
              <w:bottom w:w="80" w:type="dxa"/>
              <w:right w:w="100" w:type="dxa"/>
            </w:tcMar>
            <w:vAlign w:val="center"/>
          </w:tcPr>
          <w:p w14:paraId="77491290" w14:textId="77777777" w:rsidR="007F282D" w:rsidRDefault="00D416FE">
            <w:pPr>
              <w:spacing w:before="60" w:after="60"/>
            </w:pPr>
            <w:r>
              <w:rPr>
                <w:color w:val="000000"/>
              </w:rPr>
              <w:t>Reviewer (Cyber Architecture)</w:t>
            </w:r>
          </w:p>
        </w:tc>
        <w:tc>
          <w:tcPr>
            <w:tcW w:w="6200" w:type="dxa"/>
            <w:shd w:val="clear" w:color="auto" w:fill="F2F2F2"/>
            <w:tcMar>
              <w:top w:w="80" w:type="dxa"/>
              <w:left w:w="100" w:type="dxa"/>
              <w:bottom w:w="80" w:type="dxa"/>
              <w:right w:w="100" w:type="dxa"/>
            </w:tcMar>
            <w:vAlign w:val="center"/>
          </w:tcPr>
          <w:p w14:paraId="495A1D64" w14:textId="77777777" w:rsidR="007F282D" w:rsidRDefault="00D416FE">
            <w:pPr>
              <w:spacing w:before="60" w:after="60"/>
            </w:pPr>
            <w:r>
              <w:rPr>
                <w:color w:val="000000"/>
              </w:rPr>
              <w:t>Complete T-IR and T-RR risk ratings and close out Questionnaire ID 1335134 once all required documentation is received and reviewed.</w:t>
            </w:r>
          </w:p>
        </w:tc>
      </w:tr>
    </w:tbl>
    <w:p w14:paraId="5879C227" w14:textId="77777777" w:rsidR="007F282D" w:rsidRDefault="007F282D">
      <w:pPr>
        <w:spacing w:after="200"/>
      </w:pPr>
    </w:p>
    <w:p w14:paraId="521A4123" w14:textId="77777777" w:rsidR="007F282D" w:rsidRDefault="007F282D">
      <w:pPr>
        <w:pBdr>
          <w:bottom w:val="single" w:sz="6" w:space="1" w:color="CCCCCC"/>
        </w:pBdr>
        <w:spacing w:before="100" w:after="100"/>
      </w:pPr>
    </w:p>
    <w:p w14:paraId="5441B5ED" w14:textId="77777777" w:rsidR="007F282D" w:rsidRDefault="00D416FE">
      <w:pPr>
        <w:spacing w:before="100"/>
      </w:pPr>
      <w:r>
        <w:rPr>
          <w:color w:val="777777"/>
          <w:sz w:val="18"/>
          <w:szCs w:val="18"/>
        </w:rPr>
        <w:t>Prepared by: Cybersecurity Architecture (infosec@fhb.com)   |   Review meeting: August 4, 2026</w:t>
      </w:r>
    </w:p>
    <w:sectPr w:rsidR="007F282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64203D"/>
    <w:multiLevelType w:val="hybridMultilevel"/>
    <w:tmpl w:val="EB361494"/>
    <w:lvl w:ilvl="0" w:tplc="E506A218">
      <w:start w:val="1"/>
      <w:numFmt w:val="bullet"/>
      <w:lvlText w:val="●"/>
      <w:lvlJc w:val="left"/>
      <w:pPr>
        <w:ind w:left="720" w:hanging="360"/>
      </w:pPr>
    </w:lvl>
    <w:lvl w:ilvl="1" w:tplc="116EF0A8">
      <w:start w:val="1"/>
      <w:numFmt w:val="bullet"/>
      <w:lvlText w:val="○"/>
      <w:lvlJc w:val="left"/>
      <w:pPr>
        <w:ind w:left="1440" w:hanging="360"/>
      </w:pPr>
    </w:lvl>
    <w:lvl w:ilvl="2" w:tplc="10ECADFE">
      <w:start w:val="1"/>
      <w:numFmt w:val="bullet"/>
      <w:lvlText w:val="■"/>
      <w:lvlJc w:val="left"/>
      <w:pPr>
        <w:ind w:left="2160" w:hanging="360"/>
      </w:pPr>
    </w:lvl>
    <w:lvl w:ilvl="3" w:tplc="67D24650">
      <w:start w:val="1"/>
      <w:numFmt w:val="bullet"/>
      <w:lvlText w:val="●"/>
      <w:lvlJc w:val="left"/>
      <w:pPr>
        <w:ind w:left="2880" w:hanging="360"/>
      </w:pPr>
    </w:lvl>
    <w:lvl w:ilvl="4" w:tplc="E0467120">
      <w:start w:val="1"/>
      <w:numFmt w:val="bullet"/>
      <w:lvlText w:val="○"/>
      <w:lvlJc w:val="left"/>
      <w:pPr>
        <w:ind w:left="3600" w:hanging="360"/>
      </w:pPr>
    </w:lvl>
    <w:lvl w:ilvl="5" w:tplc="5EAEA074">
      <w:start w:val="1"/>
      <w:numFmt w:val="bullet"/>
      <w:lvlText w:val="■"/>
      <w:lvlJc w:val="left"/>
      <w:pPr>
        <w:ind w:left="4320" w:hanging="360"/>
      </w:pPr>
    </w:lvl>
    <w:lvl w:ilvl="6" w:tplc="25467320">
      <w:start w:val="1"/>
      <w:numFmt w:val="bullet"/>
      <w:lvlText w:val="●"/>
      <w:lvlJc w:val="left"/>
      <w:pPr>
        <w:ind w:left="5040" w:hanging="360"/>
      </w:pPr>
    </w:lvl>
    <w:lvl w:ilvl="7" w:tplc="309C4AE6">
      <w:start w:val="1"/>
      <w:numFmt w:val="bullet"/>
      <w:lvlText w:val="●"/>
      <w:lvlJc w:val="left"/>
      <w:pPr>
        <w:ind w:left="5760" w:hanging="360"/>
      </w:pPr>
    </w:lvl>
    <w:lvl w:ilvl="8" w:tplc="CAC468C2">
      <w:start w:val="1"/>
      <w:numFmt w:val="bullet"/>
      <w:lvlText w:val="●"/>
      <w:lvlJc w:val="left"/>
      <w:pPr>
        <w:ind w:left="6480" w:hanging="360"/>
      </w:pPr>
    </w:lvl>
  </w:abstractNum>
  <w:num w:numId="1" w16cid:durableId="14203260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7"/>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82D"/>
    <w:rsid w:val="007E3BB2"/>
    <w:rsid w:val="007F282D"/>
    <w:rsid w:val="00A86072"/>
    <w:rsid w:val="00D416FE"/>
    <w:rsid w:val="00EE0D0D"/>
    <w:rsid w:val="00F73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F9E37"/>
  <w15:docId w15:val="{CD0A730D-4839-4457-A056-798148A67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28"/>
      <w:szCs w:val="28"/>
    </w:rPr>
  </w:style>
  <w:style w:type="paragraph" w:styleId="Heading2">
    <w:name w:val="heading 2"/>
    <w:uiPriority w:val="9"/>
    <w:semiHidden/>
    <w:unhideWhenUsed/>
    <w:qFormat/>
    <w:pPr>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1155</Words>
  <Characters>7295</Characters>
  <Application>Microsoft Office Word</Application>
  <DocSecurity>0</DocSecurity>
  <Lines>227</Lines>
  <Paragraphs>150</Paragraphs>
  <ScaleCrop>false</ScaleCrop>
  <HeadingPairs>
    <vt:vector size="2" baseType="variant">
      <vt:variant>
        <vt:lpstr>Title</vt:lpstr>
      </vt:variant>
      <vt:variant>
        <vt:i4>1</vt:i4>
      </vt:variant>
    </vt:vector>
  </HeadingPairs>
  <TitlesOfParts>
    <vt:vector size="1" baseType="lpstr">
      <vt:lpstr/>
    </vt:vector>
  </TitlesOfParts>
  <Company>First Hawaiian Bank</Company>
  <LinksUpToDate>false</LinksUpToDate>
  <CharactersWithSpaces>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jjaworski@fhb.com</dc:creator>
  <cp:lastModifiedBy>James Jaworski</cp:lastModifiedBy>
  <cp:revision>3</cp:revision>
  <dcterms:created xsi:type="dcterms:W3CDTF">2026-08-05T01:01:00Z</dcterms:created>
  <dcterms:modified xsi:type="dcterms:W3CDTF">2026-08-05T01:57:00Z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0007ebb-9145-441f-beb7-bb99dc7069af_Enabled">
    <vt:lpwstr>true</vt:lpwstr>
  </property>
  <property fmtid="{D5CDD505-2E9C-101B-9397-08002B2CF9AE}" pid="3" name="MSIP_Label_60007ebb-9145-441f-beb7-bb99dc7069af_SetDate">
    <vt:lpwstr>2026-08-05T01:52:06Z</vt:lpwstr>
  </property>
  <property fmtid="{D5CDD505-2E9C-101B-9397-08002B2CF9AE}" pid="4" name="MSIP_Label_60007ebb-9145-441f-beb7-bb99dc7069af_Method">
    <vt:lpwstr>Standard</vt:lpwstr>
  </property>
  <property fmtid="{D5CDD505-2E9C-101B-9397-08002B2CF9AE}" pid="5" name="MSIP_Label_60007ebb-9145-441f-beb7-bb99dc7069af_Name">
    <vt:lpwstr>FHB - General - Internal Use</vt:lpwstr>
  </property>
  <property fmtid="{D5CDD505-2E9C-101B-9397-08002B2CF9AE}" pid="6" name="MSIP_Label_60007ebb-9145-441f-beb7-bb99dc7069af_SiteId">
    <vt:lpwstr>655b87d9-3c99-411d-b4f5-ea57117f33a7</vt:lpwstr>
  </property>
  <property fmtid="{D5CDD505-2E9C-101B-9397-08002B2CF9AE}" pid="7" name="MSIP_Label_60007ebb-9145-441f-beb7-bb99dc7069af_ActionId">
    <vt:lpwstr>18912877-d622-4916-9453-db7a662d6e9c</vt:lpwstr>
  </property>
  <property fmtid="{D5CDD505-2E9C-101B-9397-08002B2CF9AE}" pid="8" name="MSIP_Label_60007ebb-9145-441f-beb7-bb99dc7069af_ContentBits">
    <vt:lpwstr>0</vt:lpwstr>
  </property>
  <property fmtid="{D5CDD505-2E9C-101B-9397-08002B2CF9AE}" pid="9" name="MSIP_Label_60007ebb-9145-441f-beb7-bb99dc7069af_Tag">
    <vt:lpwstr>10, 3, 0, 1</vt:lpwstr>
  </property>
</Properties>
</file>