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RouteOne Technology Review</w:t>
      </w:r>
    </w:p>
    <w:p>
      <w:pPr>
        <w:spacing w:after="60"/>
      </w:pPr>
      <w:r>
        <w:rPr>
          <w:color w:val="444444"/>
          <w:sz w:val="24"/>
          <w:szCs w:val="24"/>
        </w:rPr>
        <w:t xml:space="preserve">Status Summary — August 4, 2026</w:t>
      </w:r>
    </w:p>
    <w:p>
      <w:pPr>
        <w:spacing w:after="60"/>
      </w:pPr>
      <w:r>
        <w:rPr>
          <w:b/>
          <w:bCs/>
          <w:sz w:val="20"/>
          <w:szCs w:val="20"/>
        </w:rPr>
        <w:t xml:space="preserve">Questionnaire ID: </w:t>
      </w:r>
      <w:r>
        <w:rPr>
          <w:sz w:val="20"/>
          <w:szCs w:val="20"/>
        </w:rPr>
        <w:t xml:space="preserve">1335134   </w:t>
      </w:r>
      <w:r>
        <w:rPr>
          <w:b/>
          <w:bCs/>
          <w:sz w:val="20"/>
          <w:szCs w:val="20"/>
        </w:rPr>
        <w:t xml:space="preserve">Status: </w:t>
      </w:r>
      <w:r>
        <w:rPr>
          <w:color w:val="C00000"/>
          <w:sz w:val="20"/>
          <w:szCs w:val="20"/>
        </w:rPr>
        <w:t xml:space="preserve">Pending Review by Cyber Architecture   </w:t>
      </w:r>
      <w:r>
        <w:rPr>
          <w:b/>
          <w:bCs/>
          <w:sz w:val="20"/>
          <w:szCs w:val="20"/>
        </w:rPr>
        <w:t xml:space="preserve">Engagement Manager: </w:t>
      </w:r>
      <w:r>
        <w:rPr>
          <w:sz w:val="20"/>
          <w:szCs w:val="20"/>
        </w:rPr>
        <w:t xml:space="preserve">Mike Dulaney (Dealer Division)</w:t>
      </w:r>
    </w:p>
    <w:p>
      <w:pPr>
        <w:spacing w:after="200"/>
      </w:pPr>
      <w:r>
        <w:rPr>
          <w:b/>
          <w:bCs/>
          <w:sz w:val="20"/>
          <w:szCs w:val="20"/>
        </w:rPr>
        <w:t xml:space="preserve">Third Party: </w:t>
      </w:r>
      <w:r>
        <w:rPr>
          <w:sz w:val="20"/>
          <w:szCs w:val="20"/>
        </w:rPr>
        <w:t xml:space="preserve">RouteOne LLC   </w:t>
      </w:r>
      <w:r>
        <w:rPr>
          <w:b/>
          <w:bCs/>
          <w:sz w:val="20"/>
          <w:szCs w:val="20"/>
        </w:rPr>
        <w:t xml:space="preserve">Assessment Type: </w:t>
      </w:r>
      <w:r>
        <w:rPr>
          <w:sz w:val="20"/>
          <w:szCs w:val="20"/>
        </w:rPr>
        <w:t xml:space="preserve">Onboarding</w:t>
      </w:r>
    </w:p>
    <w:p>
      <w:pPr>
        <w:pBdr>
          <w:bottom w:val="single" w:color="CCCCCC" w:sz="6" w:space="1"/>
        </w:pBdr>
        <w:spacing w:after="100" w:before="100"/>
      </w:pPr>
    </w:p>
    <w:p>
      <w:pPr>
        <w:pStyle w:val="Heading1"/>
        <w:spacing w:after="120" w:before="300"/>
        <w:rPr>
          <w:b/>
          <w:bCs/>
          <w:color w:val="1F3864"/>
          <w:sz w:val="28"/>
          <w:szCs w:val="28"/>
        </w:rPr>
      </w:pPr>
      <w:r>
        <w:t xml:space="preserve">Engagement Overview</w:t>
      </w:r>
    </w:p>
    <w:p>
      <w:pPr>
        <w:spacing w:after="80"/>
      </w:pPr>
      <w:r>
        <w:rPr>
          <w:sz w:val="22"/>
          <w:szCs w:val="22"/>
        </w:rPr>
        <w:t xml:space="preserve">RouteOne is an electronic portal that enables auto dealerships to submit credit applications and e-signed contracts electronically to MeridianLink/LoansPQ, where First Hawaiian Bank reviews, decisions, and funds them. RouteOne is not a new technology category for FHB — an analogous service, DealerTrack, has operated under the same architectural pattern for over 15 years. RouteOne is being added to accommodate dealers who prefer it, as more banks and dealers have adopted it in recent years.</w:t>
      </w:r>
    </w:p>
    <w:p>
      <w:pPr>
        <w:spacing w:after="80" w:before="80"/>
      </w:pPr>
      <w:r>
        <w:rPr>
          <w:b/>
          <w:bCs/>
          <w:sz w:val="22"/>
          <w:szCs w:val="22"/>
        </w:rPr>
        <w:t xml:space="preserve">Data flow:  </w:t>
      </w:r>
      <w:r>
        <w:rPr>
          <w:sz w:val="22"/>
          <w:szCs w:val="22"/>
        </w:rPr>
        <w:t xml:space="preserve">Dealer (RouteOne) → MeridianLink/LoansPQ → FHB review and decision → MeridianLink/LoansPQ → RouteOne → Dealer</w:t>
      </w:r>
    </w:p>
    <w:p>
      <w:pPr>
        <w:spacing w:after="80"/>
      </w:pPr>
      <w:r>
        <w:rPr>
          <w:sz w:val="22"/>
          <w:szCs w:val="22"/>
        </w:rPr>
        <w:t xml:space="preserve">FHB does not interact with RouteOne directly. All review, decisioning, and funding activity occurs within LoansPQ. Customer PII — including name, address, SSN, and financial information — passes through RouteOne in transit as dealers submit applications. FHB returns only limited data: applicant name, application number, collateral description, and the credit decision.</w:t>
      </w:r>
    </w:p>
    <w:p>
      <w:pPr>
        <w:pStyle w:val="Heading1"/>
        <w:spacing w:after="120" w:before="300"/>
        <w:rPr>
          <w:b/>
          <w:bCs/>
          <w:color w:val="1F3864"/>
          <w:sz w:val="28"/>
          <w:szCs w:val="28"/>
        </w:rPr>
      </w:pPr>
      <w:r>
        <w:t xml:space="preserve">Technology Inherent Risk Assessment</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00"/>
      </w:tblGrid>
      <w:tr>
        <w:trPr>
          <w:tblHeader/>
        </w:trPr>
        <w:tc>
          <w:tcPr>
            <w:tcW w:type="dxa" w:w="1200"/>
            <w:shd w:fill="1F3864" w:val="clear"/>
            <w:tcMar>
              <w:top w:type="dxa" w:w="80"/>
              <w:left w:type="dxa" w:w="100"/>
              <w:bottom w:type="dxa" w:w="80"/>
              <w:right w:type="dxa" w:w="100"/>
            </w:tcMar>
            <w:vAlign w:val="center"/>
          </w:tcPr>
          <w:p>
            <w:pPr>
              <w:spacing w:after="60" w:before="60"/>
            </w:pPr>
            <w:r>
              <w:rPr>
                <w:b/>
                <w:bCs/>
                <w:color w:val="FFFFFF"/>
                <w:sz w:val="20"/>
                <w:szCs w:val="20"/>
              </w:rPr>
              <w:t xml:space="preserve">Question ID</w:t>
            </w:r>
          </w:p>
        </w:tc>
        <w:tc>
          <w:tcPr>
            <w:tcW w:type="dxa" w:w="2800"/>
            <w:shd w:fill="1F3864" w:val="clear"/>
            <w:tcMar>
              <w:top w:type="dxa" w:w="80"/>
              <w:left w:type="dxa" w:w="100"/>
              <w:bottom w:type="dxa" w:w="80"/>
              <w:right w:type="dxa" w:w="100"/>
            </w:tcMar>
            <w:vAlign w:val="center"/>
          </w:tcPr>
          <w:p>
            <w:pPr>
              <w:spacing w:after="60" w:before="60"/>
            </w:pPr>
            <w:r>
              <w:rPr>
                <w:b/>
                <w:bCs/>
                <w:color w:val="FFFFFF"/>
                <w:sz w:val="20"/>
                <w:szCs w:val="20"/>
              </w:rPr>
              <w:t xml:space="preserve">Question</w:t>
            </w:r>
          </w:p>
        </w:tc>
        <w:tc>
          <w:tcPr>
            <w:tcW w:type="dxa" w:w="5000"/>
            <w:shd w:fill="1F3864" w:val="clear"/>
            <w:tcMar>
              <w:top w:type="dxa" w:w="80"/>
              <w:left w:type="dxa" w:w="100"/>
              <w:bottom w:type="dxa" w:w="80"/>
              <w:right w:type="dxa" w:w="100"/>
            </w:tcMar>
            <w:vAlign w:val="center"/>
          </w:tcPr>
          <w:p>
            <w:pPr>
              <w:spacing w:after="60" w:before="60"/>
            </w:pPr>
            <w:r>
              <w:rPr>
                <w:b/>
                <w:bCs/>
                <w:color w:val="FFFFFF"/>
                <w:sz w:val="20"/>
                <w:szCs w:val="20"/>
              </w:rPr>
              <w:t xml:space="preserve">Answer / Determination</w:t>
            </w:r>
          </w:p>
        </w:tc>
      </w:tr>
      <w:tr>
        <w:tc>
          <w:tcPr>
            <w:tcW w:type="dxa" w:w="1200"/>
            <w:shd w:fill="F2F2F2" w:val="clear"/>
            <w:tcMar>
              <w:top w:type="dxa" w:w="80"/>
              <w:left w:type="dxa" w:w="100"/>
              <w:bottom w:type="dxa" w:w="80"/>
              <w:right w:type="dxa" w:w="100"/>
            </w:tcMar>
            <w:vAlign w:val="center"/>
          </w:tcPr>
          <w:p>
            <w:pPr>
              <w:spacing w:after="60" w:before="60"/>
            </w:pPr>
            <w:r>
              <w:rPr>
                <w:b/>
                <w:bCs/>
                <w:color w:val="000000"/>
                <w:sz w:val="20"/>
                <w:szCs w:val="20"/>
              </w:rPr>
              <w:t xml:space="preserve">T-IR-0001</w:t>
            </w:r>
          </w:p>
        </w:tc>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Type of technology product/service</w:t>
            </w:r>
          </w:p>
        </w:tc>
        <w:tc>
          <w:tcPr>
            <w:tcW w:type="dxa" w:w="5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Electronic application portal — RouteOne receives credit applications and e-signed contracts from dealers and forwards to MeridianLink/LoansPQ</w:t>
            </w:r>
          </w:p>
        </w:tc>
      </w:tr>
      <w:tr>
        <w:tc>
          <w:tcPr>
            <w:tcW w:type="dxa" w:w="1200"/>
            <w:shd w:fill="FFFFFF" w:val="clear"/>
            <w:tcMar>
              <w:top w:type="dxa" w:w="80"/>
              <w:left w:type="dxa" w:w="100"/>
              <w:bottom w:type="dxa" w:w="80"/>
              <w:right w:type="dxa" w:w="100"/>
            </w:tcMar>
            <w:vAlign w:val="center"/>
          </w:tcPr>
          <w:p>
            <w:pPr>
              <w:spacing w:after="60" w:before="60"/>
            </w:pPr>
            <w:r>
              <w:rPr>
                <w:b/>
                <w:bCs/>
                <w:color w:val="000000"/>
                <w:sz w:val="20"/>
                <w:szCs w:val="20"/>
              </w:rPr>
              <w:t xml:space="preserve">T-IR-0002</w:t>
            </w:r>
          </w:p>
        </w:tc>
        <w:tc>
          <w:tcPr>
            <w:tcW w:type="dxa" w:w="28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User interaction</w:t>
            </w:r>
          </w:p>
        </w:tc>
        <w:tc>
          <w:tcPr>
            <w:tcW w:type="dxa" w:w="5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Internal (FHB employees via LoansPQ) and external (third-party dealers)</w:t>
            </w:r>
          </w:p>
        </w:tc>
      </w:tr>
      <w:tr>
        <w:tc>
          <w:tcPr>
            <w:tcW w:type="dxa" w:w="1200"/>
            <w:shd w:fill="F2F2F2" w:val="clear"/>
            <w:tcMar>
              <w:top w:type="dxa" w:w="80"/>
              <w:left w:type="dxa" w:w="100"/>
              <w:bottom w:type="dxa" w:w="80"/>
              <w:right w:type="dxa" w:w="100"/>
            </w:tcMar>
            <w:vAlign w:val="center"/>
          </w:tcPr>
          <w:p>
            <w:pPr>
              <w:spacing w:after="60" w:before="60"/>
            </w:pPr>
            <w:r>
              <w:rPr>
                <w:b/>
                <w:bCs/>
                <w:color w:val="000000"/>
                <w:sz w:val="20"/>
                <w:szCs w:val="20"/>
              </w:rPr>
              <w:t xml:space="preserve">T-IR-0003</w:t>
            </w:r>
          </w:p>
        </w:tc>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Business impact if failed</w:t>
            </w:r>
          </w:p>
        </w:tc>
        <w:tc>
          <w:tcPr>
            <w:tcW w:type="dxa" w:w="5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Minimal — DealerTrack remains the primary channel; workarounds exist</w:t>
            </w:r>
          </w:p>
        </w:tc>
      </w:tr>
      <w:tr>
        <w:tc>
          <w:tcPr>
            <w:tcW w:type="dxa" w:w="1200"/>
            <w:shd w:fill="FFFFFF" w:val="clear"/>
            <w:tcMar>
              <w:top w:type="dxa" w:w="80"/>
              <w:left w:type="dxa" w:w="100"/>
              <w:bottom w:type="dxa" w:w="80"/>
              <w:right w:type="dxa" w:w="100"/>
            </w:tcMar>
            <w:vAlign w:val="center"/>
          </w:tcPr>
          <w:p>
            <w:pPr>
              <w:spacing w:after="60" w:before="60"/>
            </w:pPr>
            <w:r>
              <w:rPr>
                <w:b/>
                <w:bCs/>
                <w:color w:val="000000"/>
                <w:sz w:val="20"/>
                <w:szCs w:val="20"/>
              </w:rPr>
              <w:t xml:space="preserve">T-IR-0004</w:t>
            </w:r>
          </w:p>
        </w:tc>
        <w:tc>
          <w:tcPr>
            <w:tcW w:type="dxa" w:w="28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Third-party employee access</w:t>
            </w:r>
          </w:p>
        </w:tc>
        <w:tc>
          <w:tcPr>
            <w:tcW w:type="dxa" w:w="5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Yes — RouteOne employees/contractors have remote access</w:t>
            </w:r>
          </w:p>
        </w:tc>
      </w:tr>
      <w:tr>
        <w:tc>
          <w:tcPr>
            <w:tcW w:type="dxa" w:w="1200"/>
            <w:shd w:fill="F2F2F2" w:val="clear"/>
            <w:tcMar>
              <w:top w:type="dxa" w:w="80"/>
              <w:left w:type="dxa" w:w="100"/>
              <w:bottom w:type="dxa" w:w="80"/>
              <w:right w:type="dxa" w:w="100"/>
            </w:tcMar>
            <w:vAlign w:val="center"/>
          </w:tcPr>
          <w:p>
            <w:pPr>
              <w:spacing w:after="60" w:before="60"/>
            </w:pPr>
            <w:r>
              <w:rPr>
                <w:b/>
                <w:bCs/>
                <w:color w:val="000000"/>
                <w:sz w:val="20"/>
                <w:szCs w:val="20"/>
              </w:rPr>
              <w:t xml:space="preserve">T-IR-0005</w:t>
            </w:r>
          </w:p>
        </w:tc>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New or emerging technology</w:t>
            </w:r>
          </w:p>
        </w:tc>
        <w:tc>
          <w:tcPr>
            <w:tcW w:type="dxa" w:w="5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No — analogous to existing DealerTrack setup</w:t>
            </w:r>
          </w:p>
        </w:tc>
      </w:tr>
      <w:tr>
        <w:tc>
          <w:tcPr>
            <w:tcW w:type="dxa" w:w="1200"/>
            <w:shd w:fill="FFFFFF" w:val="clear"/>
            <w:tcMar>
              <w:top w:type="dxa" w:w="80"/>
              <w:left w:type="dxa" w:w="100"/>
              <w:bottom w:type="dxa" w:w="80"/>
              <w:right w:type="dxa" w:w="100"/>
            </w:tcMar>
            <w:vAlign w:val="center"/>
          </w:tcPr>
          <w:p>
            <w:pPr>
              <w:spacing w:after="60" w:before="60"/>
            </w:pPr>
            <w:r>
              <w:rPr>
                <w:b/>
                <w:bCs/>
                <w:color w:val="000000"/>
                <w:sz w:val="20"/>
                <w:szCs w:val="20"/>
              </w:rPr>
              <w:t xml:space="preserve">T-IR-0005a</w:t>
            </w:r>
          </w:p>
        </w:tc>
        <w:tc>
          <w:tcPr>
            <w:tcW w:type="dxa" w:w="28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AI / Machine Learning</w:t>
            </w:r>
          </w:p>
        </w:tc>
        <w:tc>
          <w:tcPr>
            <w:tcW w:type="dxa" w:w="5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No</w:t>
            </w:r>
          </w:p>
        </w:tc>
      </w:tr>
      <w:tr>
        <w:tc>
          <w:tcPr>
            <w:tcW w:type="dxa" w:w="1200"/>
            <w:shd w:fill="F2F2F2" w:val="clear"/>
            <w:tcMar>
              <w:top w:type="dxa" w:w="80"/>
              <w:left w:type="dxa" w:w="100"/>
              <w:bottom w:type="dxa" w:w="80"/>
              <w:right w:type="dxa" w:w="100"/>
            </w:tcMar>
            <w:vAlign w:val="center"/>
          </w:tcPr>
          <w:p>
            <w:pPr>
              <w:spacing w:after="60" w:before="60"/>
            </w:pPr>
            <w:r>
              <w:rPr>
                <w:b/>
                <w:bCs/>
                <w:color w:val="000000"/>
                <w:sz w:val="20"/>
                <w:szCs w:val="20"/>
              </w:rPr>
              <w:t xml:space="preserve">T-IR-0006</w:t>
            </w:r>
          </w:p>
        </w:tc>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FHB system integration</w:t>
            </w:r>
          </w:p>
        </w:tc>
        <w:tc>
          <w:tcPr>
            <w:tcW w:type="dxa" w:w="5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Yes — ad-hoc/real-time data transmissions between RouteOne and MeridianLink on behalf of FHB</w:t>
            </w:r>
          </w:p>
        </w:tc>
      </w:tr>
      <w:tr>
        <w:tc>
          <w:tcPr>
            <w:tcW w:type="dxa" w:w="1200"/>
            <w:shd w:fill="FFFFFF" w:val="clear"/>
            <w:tcMar>
              <w:top w:type="dxa" w:w="80"/>
              <w:left w:type="dxa" w:w="100"/>
              <w:bottom w:type="dxa" w:w="80"/>
              <w:right w:type="dxa" w:w="100"/>
            </w:tcMar>
            <w:vAlign w:val="center"/>
          </w:tcPr>
          <w:p>
            <w:pPr>
              <w:spacing w:after="60" w:before="60"/>
            </w:pPr>
            <w:r>
              <w:rPr>
                <w:b/>
                <w:bCs/>
                <w:color w:val="000000"/>
                <w:sz w:val="20"/>
                <w:szCs w:val="20"/>
              </w:rPr>
              <w:t xml:space="preserve">T-IR-0007</w:t>
            </w:r>
          </w:p>
        </w:tc>
        <w:tc>
          <w:tcPr>
            <w:tcW w:type="dxa" w:w="28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System of record</w:t>
            </w:r>
          </w:p>
        </w:tc>
        <w:tc>
          <w:tcPr>
            <w:tcW w:type="dxa" w:w="5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No — MeridianLink/LoansPQ is the system of record</w:t>
            </w:r>
          </w:p>
        </w:tc>
      </w:tr>
    </w:tbl>
    <w:p>
      <w:pPr>
        <w:spacing w:after="160"/>
      </w:pPr>
    </w:p>
    <w:p>
      <w:pPr>
        <w:pStyle w:val="Heading1"/>
        <w:spacing w:after="120" w:before="300"/>
        <w:rPr>
          <w:b/>
          <w:bCs/>
          <w:color w:val="1F3864"/>
          <w:sz w:val="28"/>
          <w:szCs w:val="28"/>
        </w:rPr>
      </w:pPr>
      <w:r>
        <w:t xml:space="preserve">Technology Residual Risk Assessment (Partial)</w:t>
      </w:r>
    </w:p>
    <w:p>
      <w:pPr>
        <w:spacing w:after="80"/>
      </w:pPr>
      <w:r>
        <w:rPr>
          <w:sz w:val="22"/>
          <w:szCs w:val="22"/>
        </w:rPr>
        <w:t xml:space="preserve">The following residual risk questions have been answered. Additional residual risk questions may become applicable pending review of RouteOne security documentation.</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00"/>
      </w:tblGrid>
      <w:tr>
        <w:trPr>
          <w:tblHeader/>
        </w:trPr>
        <w:tc>
          <w:tcPr>
            <w:tcW w:type="dxa" w:w="1200"/>
            <w:shd w:fill="1F3864" w:val="clear"/>
            <w:tcMar>
              <w:top w:type="dxa" w:w="80"/>
              <w:left w:type="dxa" w:w="100"/>
              <w:bottom w:type="dxa" w:w="80"/>
              <w:right w:type="dxa" w:w="100"/>
            </w:tcMar>
            <w:vAlign w:val="center"/>
          </w:tcPr>
          <w:p>
            <w:pPr>
              <w:spacing w:after="60" w:before="60"/>
            </w:pPr>
            <w:r>
              <w:rPr>
                <w:b/>
                <w:bCs/>
                <w:color w:val="FFFFFF"/>
                <w:sz w:val="20"/>
                <w:szCs w:val="20"/>
              </w:rPr>
              <w:t xml:space="preserve">Question ID</w:t>
            </w:r>
          </w:p>
        </w:tc>
        <w:tc>
          <w:tcPr>
            <w:tcW w:type="dxa" w:w="2800"/>
            <w:shd w:fill="1F3864" w:val="clear"/>
            <w:tcMar>
              <w:top w:type="dxa" w:w="80"/>
              <w:left w:type="dxa" w:w="100"/>
              <w:bottom w:type="dxa" w:w="80"/>
              <w:right w:type="dxa" w:w="100"/>
            </w:tcMar>
            <w:vAlign w:val="center"/>
          </w:tcPr>
          <w:p>
            <w:pPr>
              <w:spacing w:after="60" w:before="60"/>
            </w:pPr>
            <w:r>
              <w:rPr>
                <w:b/>
                <w:bCs/>
                <w:color w:val="FFFFFF"/>
                <w:sz w:val="20"/>
                <w:szCs w:val="20"/>
              </w:rPr>
              <w:t xml:space="preserve">Question</w:t>
            </w:r>
          </w:p>
        </w:tc>
        <w:tc>
          <w:tcPr>
            <w:tcW w:type="dxa" w:w="5000"/>
            <w:shd w:fill="1F3864" w:val="clear"/>
            <w:tcMar>
              <w:top w:type="dxa" w:w="80"/>
              <w:left w:type="dxa" w:w="100"/>
              <w:bottom w:type="dxa" w:w="80"/>
              <w:right w:type="dxa" w:w="100"/>
            </w:tcMar>
            <w:vAlign w:val="center"/>
          </w:tcPr>
          <w:p>
            <w:pPr>
              <w:spacing w:after="60" w:before="60"/>
            </w:pPr>
            <w:r>
              <w:rPr>
                <w:b/>
                <w:bCs/>
                <w:color w:val="FFFFFF"/>
                <w:sz w:val="20"/>
                <w:szCs w:val="20"/>
              </w:rPr>
              <w:t xml:space="preserve">Answer / Determination</w:t>
            </w:r>
          </w:p>
        </w:tc>
      </w:tr>
      <w:tr>
        <w:tc>
          <w:tcPr>
            <w:tcW w:type="dxa" w:w="1200"/>
            <w:shd w:fill="F2F2F2" w:val="clear"/>
            <w:tcMar>
              <w:top w:type="dxa" w:w="80"/>
              <w:left w:type="dxa" w:w="100"/>
              <w:bottom w:type="dxa" w:w="80"/>
              <w:right w:type="dxa" w:w="100"/>
            </w:tcMar>
            <w:vAlign w:val="center"/>
          </w:tcPr>
          <w:p>
            <w:pPr>
              <w:spacing w:after="60" w:before="60"/>
            </w:pPr>
            <w:r>
              <w:rPr>
                <w:b/>
                <w:bCs/>
                <w:color w:val="000000"/>
                <w:sz w:val="20"/>
                <w:szCs w:val="20"/>
              </w:rPr>
              <w:t xml:space="preserve">T-RR-0001</w:t>
            </w:r>
          </w:p>
        </w:tc>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Maintenance responsibility defined</w:t>
            </w:r>
          </w:p>
        </w:tc>
        <w:tc>
          <w:tcPr>
            <w:tcW w:type="dxa" w:w="5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Yes — SLAs defined; RouteOne partially/wholly responsible</w:t>
            </w:r>
          </w:p>
        </w:tc>
      </w:tr>
      <w:tr>
        <w:tc>
          <w:tcPr>
            <w:tcW w:type="dxa" w:w="1200"/>
            <w:shd w:fill="FFFFFF" w:val="clear"/>
            <w:tcMar>
              <w:top w:type="dxa" w:w="80"/>
              <w:left w:type="dxa" w:w="100"/>
              <w:bottom w:type="dxa" w:w="80"/>
              <w:right w:type="dxa" w:w="100"/>
            </w:tcMar>
            <w:vAlign w:val="center"/>
          </w:tcPr>
          <w:p>
            <w:pPr>
              <w:spacing w:after="60" w:before="60"/>
            </w:pPr>
            <w:r>
              <w:rPr>
                <w:b/>
                <w:bCs/>
                <w:color w:val="000000"/>
                <w:sz w:val="20"/>
                <w:szCs w:val="20"/>
              </w:rPr>
              <w:t xml:space="preserve">T-RR-0006</w:t>
            </w:r>
          </w:p>
        </w:tc>
        <w:tc>
          <w:tcPr>
            <w:tcW w:type="dxa" w:w="28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Data protection requirements defined</w:t>
            </w:r>
          </w:p>
        </w:tc>
        <w:tc>
          <w:tcPr>
            <w:tcW w:type="dxa" w:w="5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Yes — requirements defined and agreed upon</w:t>
            </w:r>
          </w:p>
        </w:tc>
      </w:tr>
      <w:tr>
        <w:tc>
          <w:tcPr>
            <w:tcW w:type="dxa" w:w="1200"/>
            <w:shd w:fill="F2F2F2" w:val="clear"/>
            <w:tcMar>
              <w:top w:type="dxa" w:w="80"/>
              <w:left w:type="dxa" w:w="100"/>
              <w:bottom w:type="dxa" w:w="80"/>
              <w:right w:type="dxa" w:w="100"/>
            </w:tcMar>
            <w:vAlign w:val="center"/>
          </w:tcPr>
          <w:p>
            <w:pPr>
              <w:spacing w:after="60" w:before="60"/>
            </w:pPr>
            <w:r>
              <w:rPr>
                <w:b/>
                <w:bCs/>
                <w:color w:val="000000"/>
                <w:sz w:val="20"/>
                <w:szCs w:val="20"/>
              </w:rPr>
              <w:t xml:space="preserve">T-RR-0010</w:t>
            </w:r>
          </w:p>
        </w:tc>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Integration SLAs defined</w:t>
            </w:r>
          </w:p>
        </w:tc>
        <w:tc>
          <w:tcPr>
            <w:tcW w:type="dxa" w:w="5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Yes — performance, integrity, security, and maintenance SLAs in place</w:t>
            </w:r>
          </w:p>
        </w:tc>
      </w:tr>
    </w:tbl>
    <w:p>
      <w:pPr>
        <w:spacing w:after="160"/>
      </w:pPr>
    </w:p>
    <w:p>
      <w:pPr>
        <w:pStyle w:val="Heading1"/>
        <w:spacing w:after="120" w:before="300"/>
        <w:rPr>
          <w:b/>
          <w:bCs/>
          <w:color w:val="1F3864"/>
          <w:sz w:val="28"/>
          <w:szCs w:val="28"/>
        </w:rPr>
      </w:pPr>
      <w:r>
        <w:t xml:space="preserve">What We Know</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864" w:val="clear"/>
            <w:tcMar>
              <w:top w:type="dxa" w:w="80"/>
              <w:left w:type="dxa" w:w="100"/>
              <w:bottom w:type="dxa" w:w="80"/>
              <w:right w:type="dxa" w:w="100"/>
            </w:tcMar>
            <w:vAlign w:val="center"/>
          </w:tcPr>
          <w:p>
            <w:pPr>
              <w:spacing w:after="60" w:before="60"/>
            </w:pPr>
            <w:r>
              <w:rPr>
                <w:b/>
                <w:bCs/>
                <w:color w:val="FFFFFF"/>
                <w:sz w:val="20"/>
                <w:szCs w:val="20"/>
              </w:rPr>
              <w:t xml:space="preserve">Topic</w:t>
            </w:r>
          </w:p>
        </w:tc>
        <w:tc>
          <w:tcPr>
            <w:tcW w:type="dxa" w:w="6000"/>
            <w:shd w:fill="1F3864" w:val="clear"/>
            <w:tcMar>
              <w:top w:type="dxa" w:w="80"/>
              <w:left w:type="dxa" w:w="100"/>
              <w:bottom w:type="dxa" w:w="80"/>
              <w:right w:type="dxa" w:w="100"/>
            </w:tcMar>
            <w:vAlign w:val="center"/>
          </w:tcPr>
          <w:p>
            <w:pPr>
              <w:spacing w:after="60" w:before="60"/>
            </w:pPr>
            <w:r>
              <w:rPr>
                <w:b/>
                <w:bCs/>
                <w:color w:val="FFFFFF"/>
                <w:sz w:val="20"/>
                <w:szCs w:val="20"/>
              </w:rPr>
              <w:t xml:space="preserve">Detail</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Data flow</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Dealers → RouteOne → MeridianLink/LoansPQ → FHB. FHB interacts only through LoansPQ; no direct interface with RouteOne.</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Customer PII in transit</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Name, address, SSN, financial information flow through RouteOne in transit. FHB returns limited data: name, application number, collateral description, loan decision.</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Analogous service in production</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DealerTrack has operated under the same architecture for 15+ years. RouteOne adds a second channel for dealers who prefer it.</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Third-party remote access</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RouteOne employees/contractors have remote access to their system.</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Integration type</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Ad-hoc batch and/or real-time data transmissions between RouteOne and MeridianLink on behalf of FHB (T-IR-0006a).</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Prior security review</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Vendor Security conducted a review in 2023. The SOC report was reviewed for control exceptions; methodology was less rigorous than the current process. The review did not explicitly assess encryption or data-in-transit security.</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SOC documentation provided</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SOC 1 Type II (Oct 2024–Sep 2025), SOC 2 Type II (Security, Availability, Privacy; Oct 2024–Sep 2025), SOC for Cybersecurity (Oct 2024–Sep 2025), Bridge Letter (valid through Dec 31, 2025).</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CISP</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RouteOne CISP v6.0 (GLBA/FTC Safeguards Rule) — covers access controls, encryption, secure development, change management, vulnerability/pen testing, security awareness, and service provider oversight.</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Network diagram</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One diagram exists in Archer. It was generated by FHB — not provided by RouteOne — based on FHB's understanding of the data flow. Mike Dulaney confirmed the general workflow remains accurate.</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LoansPQ upgrade</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LoansPQ was upgraded from classic to modern version. The RouteOne integration itself was not changed.</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Residual risk (partial)</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T-RR-0001, T-RR-0006, and T-RR-0010 completed. Maintenance, data protection, and integration SLAs are defined.</w:t>
            </w:r>
          </w:p>
        </w:tc>
      </w:tr>
    </w:tbl>
    <w:p>
      <w:pPr>
        <w:spacing w:after="160"/>
      </w:pPr>
    </w:p>
    <w:p>
      <w:pPr>
        <w:pStyle w:val="Heading1"/>
        <w:spacing w:after="120" w:before="300"/>
        <w:rPr>
          <w:b/>
          <w:bCs/>
          <w:color w:val="1F3864"/>
          <w:sz w:val="28"/>
          <w:szCs w:val="28"/>
        </w:rPr>
      </w:pPr>
      <w:r>
        <w:t xml:space="preserve">What We Don't Know</w:t>
      </w:r>
    </w:p>
    <w:p>
      <w:pPr>
        <w:spacing w:after="100"/>
      </w:pPr>
      <w:r>
        <w:rPr>
          <w:color w:val="C00000"/>
          <w:sz w:val="22"/>
          <w:szCs w:val="22"/>
        </w:rPr>
        <w:t xml:space="preserve">The following gaps must be resolved before the Technology Review can be completed and risk ratings finalized.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864" w:val="clear"/>
            <w:tcMar>
              <w:top w:type="dxa" w:w="80"/>
              <w:left w:type="dxa" w:w="100"/>
              <w:bottom w:type="dxa" w:w="80"/>
              <w:right w:type="dxa" w:w="100"/>
            </w:tcMar>
            <w:vAlign w:val="center"/>
          </w:tcPr>
          <w:p>
            <w:pPr>
              <w:spacing w:after="60" w:before="60"/>
            </w:pPr>
            <w:r>
              <w:rPr>
                <w:b/>
                <w:bCs/>
                <w:color w:val="FFFFFF"/>
                <w:sz w:val="20"/>
                <w:szCs w:val="20"/>
              </w:rPr>
              <w:t xml:space="preserve">Gap</w:t>
            </w:r>
          </w:p>
        </w:tc>
        <w:tc>
          <w:tcPr>
            <w:tcW w:type="dxa" w:w="6000"/>
            <w:shd w:fill="1F3864" w:val="clear"/>
            <w:tcMar>
              <w:top w:type="dxa" w:w="80"/>
              <w:left w:type="dxa" w:w="100"/>
              <w:bottom w:type="dxa" w:w="80"/>
              <w:right w:type="dxa" w:w="100"/>
            </w:tcMar>
            <w:vAlign w:val="center"/>
          </w:tcPr>
          <w:p>
            <w:pPr>
              <w:spacing w:after="60" w:before="60"/>
            </w:pPr>
            <w:r>
              <w:rPr>
                <w:b/>
                <w:bCs/>
                <w:color w:val="FFFFFF"/>
                <w:sz w:val="20"/>
                <w:szCs w:val="20"/>
              </w:rPr>
              <w:t xml:space="preserve">Description</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Encryption specifics</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TLS version, certificate authority, and key management for data in transit (dealer → RouteOne → MeridianLink) are not documented in the current record.</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Dealer authentication controls</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How RouteOne authenticates and authorizes dealers (MFA, credential management) is not known.</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RouteOne data retention</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How long RouteOne retains FHB customer data and the disposal process are not documented.</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Incident / breach history</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No information on security incidents or regulatory actions against RouteOne in the past 3 years.</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SOC coverage gap (Jan–Aug 2026)</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The bridge letter covers only through December 31, 2025. Eight months of 2026 are not covered by any audited SOC report.</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RouteOne architecture documentation</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Only FHB-generated documentation exists. RouteOne has not provided its own design documentation, white papers, or vendor-authored data flow diagrams.</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LoansPQ upgrade impact</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The impact of the LoansPQ classic-to-modern upgrade on integration security controls has not been assessed.</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PII data elements retained by RouteOne</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Exact data elements RouteOne stores or logs during transmission (versus strictly passing through) are not confirmed.</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Subcontractor / fourth-party risk</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Whether RouteOne uses subcontractors that process or have access to FHB customer data is not known.</w:t>
            </w:r>
          </w:p>
        </w:tc>
      </w:tr>
    </w:tbl>
    <w:p>
      <w:pPr>
        <w:spacing w:after="160"/>
      </w:pPr>
    </w:p>
    <w:p>
      <w:pPr>
        <w:pStyle w:val="Heading1"/>
        <w:spacing w:after="120" w:before="300"/>
        <w:rPr>
          <w:b/>
          <w:bCs/>
          <w:color w:val="1F3864"/>
          <w:sz w:val="28"/>
          <w:szCs w:val="28"/>
        </w:rPr>
      </w:pPr>
      <w:r>
        <w:t xml:space="preserve">Information Needed to Complete the Review</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864" w:val="clear"/>
            <w:tcMar>
              <w:top w:type="dxa" w:w="80"/>
              <w:left w:type="dxa" w:w="100"/>
              <w:bottom w:type="dxa" w:w="80"/>
              <w:right w:type="dxa" w:w="100"/>
            </w:tcMar>
            <w:vAlign w:val="center"/>
          </w:tcPr>
          <w:p>
            <w:pPr>
              <w:spacing w:after="60" w:before="60"/>
            </w:pPr>
            <w:r>
              <w:rPr>
                <w:b/>
                <w:bCs/>
                <w:color w:val="FFFFFF"/>
                <w:sz w:val="20"/>
                <w:szCs w:val="20"/>
              </w:rPr>
              <w:t xml:space="preserve">Item Required</w:t>
            </w:r>
          </w:p>
        </w:tc>
        <w:tc>
          <w:tcPr>
            <w:tcW w:type="dxa" w:w="6000"/>
            <w:shd w:fill="1F3864" w:val="clear"/>
            <w:tcMar>
              <w:top w:type="dxa" w:w="80"/>
              <w:left w:type="dxa" w:w="100"/>
              <w:bottom w:type="dxa" w:w="80"/>
              <w:right w:type="dxa" w:w="100"/>
            </w:tcMar>
            <w:vAlign w:val="center"/>
          </w:tcPr>
          <w:p>
            <w:pPr>
              <w:spacing w:after="60" w:before="60"/>
            </w:pPr>
            <w:r>
              <w:rPr>
                <w:b/>
                <w:bCs/>
                <w:color w:val="FFFFFF"/>
                <w:sz w:val="20"/>
                <w:szCs w:val="20"/>
              </w:rPr>
              <w:t xml:space="preserve">Purpose / Rationale</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Updated SOC bridge letter or new SOC 2 report</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Coverage through at minimum Q1/Q2 2026 to close the gap since December 2025. Required before risk rating can be finalized.</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RouteOne-authored architecture documentation</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Vendor-provided design documentation, data flow diagrams, or white papers. Needed to validate FHB's understanding of the data flow and confirm no undocumented data handling.</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Encryption specification</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Confirmation of TLS version, certificate authority, and key management for data in transit (dealer → RouteOne → MeridianLink). Focus: data at rest within RouteOne's systems during processing.</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Dealer authentication controls</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Documentation of dealer authentication requirements (MFA, credential standards) and how access is provisioned and revoked.</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Data retention and disposal policy</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Documented retention periods and disposal procedures for FHB customer PII processed through RouteOne.</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Security incident history (past 3 years)</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Any incidents, breaches, regulatory actions, or material control failures from 2023 to present.</w:t>
            </w:r>
          </w:p>
        </w:tc>
      </w:tr>
      <w:tr>
        <w:tc>
          <w:tcPr>
            <w:tcW w:type="dxa" w:w="3000"/>
            <w:shd w:fill="F2F2F2" w:val="clear"/>
            <w:tcMar>
              <w:top w:type="dxa" w:w="80"/>
              <w:left w:type="dxa" w:w="100"/>
              <w:bottom w:type="dxa" w:w="80"/>
              <w:right w:type="dxa" w:w="100"/>
            </w:tcMar>
            <w:vAlign w:val="center"/>
          </w:tcPr>
          <w:p>
            <w:pPr>
              <w:spacing w:after="60" w:before="60"/>
            </w:pPr>
            <w:r>
              <w:rPr>
                <w:b/>
                <w:bCs/>
                <w:color w:val="000000"/>
                <w:sz w:val="20"/>
                <w:szCs w:val="20"/>
              </w:rPr>
              <w:t xml:space="preserve">Subcontractor list</w:t>
            </w:r>
          </w:p>
        </w:tc>
        <w:tc>
          <w:tcPr>
            <w:tcW w:type="dxa" w:w="60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List of subcontractors with access to FHB customer data, and whether they are subject to equivalent security requirements.</w:t>
            </w:r>
          </w:p>
        </w:tc>
      </w:tr>
      <w:tr>
        <w:tc>
          <w:tcPr>
            <w:tcW w:type="dxa" w:w="3000"/>
            <w:shd w:fill="FFFFFF" w:val="clear"/>
            <w:tcMar>
              <w:top w:type="dxa" w:w="80"/>
              <w:left w:type="dxa" w:w="100"/>
              <w:bottom w:type="dxa" w:w="80"/>
              <w:right w:type="dxa" w:w="100"/>
            </w:tcMar>
            <w:vAlign w:val="center"/>
          </w:tcPr>
          <w:p>
            <w:pPr>
              <w:spacing w:after="60" w:before="60"/>
            </w:pPr>
            <w:r>
              <w:rPr>
                <w:b/>
                <w:bCs/>
                <w:color w:val="000000"/>
                <w:sz w:val="20"/>
                <w:szCs w:val="20"/>
              </w:rPr>
              <w:t xml:space="preserve">Full review of 2025 SOC 2 Type II report</w:t>
            </w:r>
          </w:p>
        </w:tc>
        <w:tc>
          <w:tcPr>
            <w:tcW w:type="dxa" w:w="60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Internal review of the full report (already in Archer) focusing on: encryption controls, access management, data transmission security, and any noted exceptions or management responses.</w:t>
            </w:r>
          </w:p>
        </w:tc>
      </w:tr>
    </w:tbl>
    <w:p>
      <w:pPr>
        <w:spacing w:after="160"/>
      </w:pPr>
    </w:p>
    <w:p>
      <w:pPr>
        <w:pStyle w:val="Heading1"/>
        <w:spacing w:after="120" w:before="300"/>
        <w:rPr>
          <w:b/>
          <w:bCs/>
          <w:color w:val="1F3864"/>
          <w:sz w:val="28"/>
          <w:szCs w:val="28"/>
        </w:rPr>
      </w:pPr>
      <w:r>
        <w:t xml:space="preserve">Next Steps</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shd w:fill="1F3864" w:val="clear"/>
            <w:tcMar>
              <w:top w:type="dxa" w:w="80"/>
              <w:left w:type="dxa" w:w="100"/>
              <w:bottom w:type="dxa" w:w="80"/>
              <w:right w:type="dxa" w:w="100"/>
            </w:tcMar>
            <w:vAlign w:val="center"/>
          </w:tcPr>
          <w:p>
            <w:pPr>
              <w:spacing w:after="60" w:before="60"/>
            </w:pPr>
            <w:r>
              <w:rPr>
                <w:b/>
                <w:bCs/>
                <w:color w:val="FFFFFF"/>
                <w:sz w:val="20"/>
                <w:szCs w:val="20"/>
              </w:rPr>
              <w:t xml:space="preserve">Owner</w:t>
            </w:r>
          </w:p>
        </w:tc>
        <w:tc>
          <w:tcPr>
            <w:tcW w:type="dxa" w:w="6200"/>
            <w:shd w:fill="1F3864" w:val="clear"/>
            <w:tcMar>
              <w:top w:type="dxa" w:w="80"/>
              <w:left w:type="dxa" w:w="100"/>
              <w:bottom w:type="dxa" w:w="80"/>
              <w:right w:type="dxa" w:w="100"/>
            </w:tcMar>
            <w:vAlign w:val="center"/>
          </w:tcPr>
          <w:p>
            <w:pPr>
              <w:spacing w:after="60" w:before="60"/>
            </w:pPr>
            <w:r>
              <w:rPr>
                <w:b/>
                <w:bCs/>
                <w:color w:val="FFFFFF"/>
                <w:sz w:val="20"/>
                <w:szCs w:val="20"/>
              </w:rPr>
              <w:t xml:space="preserve">Action</w:t>
            </w:r>
          </w:p>
        </w:tc>
      </w:tr>
      <w:tr>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Mike Dulaney (Dealer Division)</w:t>
            </w:r>
          </w:p>
        </w:tc>
        <w:tc>
          <w:tcPr>
            <w:tcW w:type="dxa" w:w="62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Send all RouteOne documentation and upload to Archer (committed at Aug 4 meeting).</w:t>
            </w:r>
          </w:p>
        </w:tc>
      </w:tr>
      <w:tr>
        <w:tc>
          <w:tcPr>
            <w:tcW w:type="dxa" w:w="28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Reviewer (Cyber Architecture)</w:t>
            </w:r>
          </w:p>
        </w:tc>
        <w:tc>
          <w:tcPr>
            <w:tcW w:type="dxa" w:w="62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Review full 2025 SOC 2 Type II report and FHB-generated network diagram; document findings and open questions.</w:t>
            </w:r>
          </w:p>
        </w:tc>
      </w:tr>
      <w:tr>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Reviewer (Cyber Architecture)</w:t>
            </w:r>
          </w:p>
        </w:tc>
        <w:tc>
          <w:tcPr>
            <w:tcW w:type="dxa" w:w="62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Determine whether bridge letter gap (Jan–Aug 2026) is acceptable or requires updated documentation before completing the review.</w:t>
            </w:r>
          </w:p>
        </w:tc>
      </w:tr>
      <w:tr>
        <w:tc>
          <w:tcPr>
            <w:tcW w:type="dxa" w:w="28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Mike Dulaney / RouteOne</w:t>
            </w:r>
          </w:p>
        </w:tc>
        <w:tc>
          <w:tcPr>
            <w:tcW w:type="dxa" w:w="6200"/>
            <w:shd w:fill="FFFFFF" w:val="clear"/>
            <w:tcMar>
              <w:top w:type="dxa" w:w="80"/>
              <w:left w:type="dxa" w:w="100"/>
              <w:bottom w:type="dxa" w:w="80"/>
              <w:right w:type="dxa" w:w="100"/>
            </w:tcMar>
            <w:vAlign w:val="center"/>
          </w:tcPr>
          <w:p>
            <w:pPr>
              <w:spacing w:after="60" w:before="60"/>
            </w:pPr>
            <w:r>
              <w:rPr>
                <w:b w:val="false"/>
                <w:bCs w:val="false"/>
                <w:color w:val="000000"/>
                <w:sz w:val="20"/>
                <w:szCs w:val="20"/>
              </w:rPr>
              <w:t xml:space="preserve">Request RouteOne-authored architecture documentation and encryption specification. Facilitate vendor meeting if questions remain after document review.</w:t>
            </w:r>
          </w:p>
        </w:tc>
      </w:tr>
      <w:tr>
        <w:tc>
          <w:tcPr>
            <w:tcW w:type="dxa" w:w="28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Reviewer (Cyber Architecture)</w:t>
            </w:r>
          </w:p>
        </w:tc>
        <w:tc>
          <w:tcPr>
            <w:tcW w:type="dxa" w:w="6200"/>
            <w:shd w:fill="F2F2F2" w:val="clear"/>
            <w:tcMar>
              <w:top w:type="dxa" w:w="80"/>
              <w:left w:type="dxa" w:w="100"/>
              <w:bottom w:type="dxa" w:w="80"/>
              <w:right w:type="dxa" w:w="100"/>
            </w:tcMar>
            <w:vAlign w:val="center"/>
          </w:tcPr>
          <w:p>
            <w:pPr>
              <w:spacing w:after="60" w:before="60"/>
            </w:pPr>
            <w:r>
              <w:rPr>
                <w:b w:val="false"/>
                <w:bCs w:val="false"/>
                <w:color w:val="000000"/>
                <w:sz w:val="20"/>
                <w:szCs w:val="20"/>
              </w:rPr>
              <w:t xml:space="preserve">Complete T-IR and T-RR risk ratings and close out Questionnaire ID 1335134 once all required documentation is received and reviewed.</w:t>
            </w:r>
          </w:p>
        </w:tc>
      </w:tr>
    </w:tbl>
    <w:p>
      <w:pPr>
        <w:spacing w:after="200"/>
      </w:pPr>
    </w:p>
    <w:p>
      <w:pPr>
        <w:pBdr>
          <w:bottom w:val="single" w:color="CCCCCC" w:sz="6" w:space="1"/>
        </w:pBdr>
        <w:spacing w:after="100" w:before="100"/>
      </w:pPr>
    </w:p>
    <w:p>
      <w:pPr>
        <w:spacing w:before="100"/>
      </w:pPr>
      <w:r>
        <w:rPr>
          <w:color w:val="777777"/>
          <w:sz w:val="18"/>
          <w:szCs w:val="18"/>
        </w:rPr>
        <w:t xml:space="preserve">Prepared by: Cybersecurity Architecture (infosec@fhb.com)   |   Review meeting: August 4,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b/>
      <w:bCs/>
      <w:color w:val="1F3864"/>
      <w:sz w:val="28"/>
      <w:szCs w:val="28"/>
    </w:rPr>
  </w:style>
  <w:style w:type="paragraph" w:styleId="Heading2">
    <w:name w:val="Heading 2"/>
    <w:rPr>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2026-08-05T01:01:29.214Z</dcterms:created>
  <dcterms:modified xsi:type="dcterms:W3CDTF">2026-08-05T01:01:29.214Z</dcterms:modified>
</cp:coreProperties>
</file>

<file path=docProps/custom.xml><?xml version="1.0" encoding="utf-8"?>
<Properties xmlns="http://schemas.openxmlformats.org/officeDocument/2006/custom-properties" xmlns:vt="http://schemas.openxmlformats.org/officeDocument/2006/docPropsVTypes"/>
</file>