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b/>
          <w:bCs/>
          <w:color w:val="1F3A5F"/>
          <w:sz w:val="52"/>
          <w:szCs w:val="52"/>
        </w:rPr>
        <w:t xml:space="preserve">3D BodyMap</w:t>
      </w:r>
    </w:p>
    <w:p>
      <w:pPr>
        <w:spacing w:after="60"/>
      </w:pPr>
      <w:r>
        <w:rPr>
          <w:b/>
          <w:bCs/>
          <w:color w:val="2E6E8E"/>
          <w:sz w:val="34"/>
          <w:szCs w:val="34"/>
        </w:rPr>
        <w:t xml:space="preserve">Application Ethics Summary</w:t>
      </w:r>
    </w:p>
    <w:p>
      <w:pPr>
        <w:spacing w:after="200"/>
      </w:pPr>
      <w:r>
        <w:rPr>
          <w:i/>
          <w:iCs/>
          <w:color w:val="555555"/>
          <w:sz w:val="24"/>
          <w:szCs w:val="24"/>
        </w:rPr>
        <w:t xml:space="preserve">Supporting input for the Research Ethics Board (REB) proposal</w:t>
      </w:r>
    </w:p>
    <w:tbl>
      <w:tblPr>
        <w:tblW w:type="dxa" w:w="9360"/>
        <w:tblBorders>
          <w:top w:val="single" w:color="9BB4C4" w:sz="2"/>
          <w:left w:val="single" w:color="9BB4C4" w:sz="2"/>
          <w:bottom w:val="single" w:color="9BB4C4" w:sz="2"/>
          <w:right w:val="single" w:color="9BB4C4" w:sz="2"/>
          <w:insideH w:val="single" w:color="9BB4C4" w:sz="2"/>
          <w:insideV w:val="single" w:color="9BB4C4" w:sz="2"/>
        </w:tblBorders>
      </w:tblPr>
      <w:tblGrid>
        <w:gridCol w:w="2400"/>
        <w:gridCol w:w="6960"/>
      </w:tblGrid>
      <w:tr>
        <w:trPr>
          <w:tblHeader/>
        </w:trPr>
        <w:tc>
          <w:tcPr>
            <w:tcW w:type="dxa" w:w="2400"/>
            <w:shd w:fill="1F3A5F" w:color="auto" w:val="clear"/>
            <w:tcMar>
              <w:top w:type="dxa" w:w="80"/>
              <w:left w:type="dxa" w:w="110"/>
              <w:bottom w:type="dxa" w:w="80"/>
              <w:right w:type="dxa" w:w="110"/>
            </w:tcMar>
          </w:tcPr>
          <w:p>
            <w:pPr>
              <w:spacing w:after="0"/>
            </w:pPr>
            <w:r>
              <w:rPr>
                <w:b/>
                <w:bCs/>
                <w:color w:val="FFFFFF"/>
                <w:sz w:val="19"/>
                <w:szCs w:val="19"/>
              </w:rPr>
              <w:t xml:space="preserve">Field</w:t>
            </w:r>
          </w:p>
        </w:tc>
        <w:tc>
          <w:tcPr>
            <w:tcW w:type="dxa" w:w="6960"/>
            <w:shd w:fill="1F3A5F" w:color="auto" w:val="clear"/>
            <w:tcMar>
              <w:top w:type="dxa" w:w="80"/>
              <w:left w:type="dxa" w:w="110"/>
              <w:bottom w:type="dxa" w:w="80"/>
              <w:right w:type="dxa" w:w="110"/>
            </w:tcMar>
          </w:tcPr>
          <w:p>
            <w:pPr>
              <w:spacing w:after="0"/>
            </w:pPr>
            <w:r>
              <w:rPr>
                <w:b/>
                <w:bCs/>
                <w:color w:val="FFFFFF"/>
                <w:sz w:val="19"/>
                <w:szCs w:val="19"/>
              </w:rPr>
              <w:t xml:space="preserve">Detail</w:t>
            </w:r>
          </w:p>
        </w:tc>
      </w:tr>
      <w:tr>
        <w:tc>
          <w:tcPr>
            <w:tcW w:type="dxa" w:w="2400"/>
            <w:shd w:fill="EEF3F7" w:color="auto" w:val="clear"/>
            <w:tcMar>
              <w:top w:type="dxa" w:w="70"/>
              <w:left w:type="dxa" w:w="110"/>
              <w:bottom w:type="dxa" w:w="70"/>
              <w:right w:type="dxa" w:w="110"/>
            </w:tcMar>
          </w:tcPr>
          <w:p>
            <w:pPr>
              <w:spacing w:after="0" w:line="264"/>
            </w:pPr>
            <w:r>
              <w:rPr>
                <w:color w:val="222222"/>
                <w:sz w:val="19"/>
                <w:szCs w:val="19"/>
              </w:rPr>
              <w:t xml:space="preserve">Application</w:t>
            </w:r>
          </w:p>
        </w:tc>
        <w:tc>
          <w:tcPr>
            <w:tcW w:type="dxa" w:w="6960"/>
            <w:shd w:fill="EEF3F7" w:color="auto" w:val="clear"/>
            <w:tcMar>
              <w:top w:type="dxa" w:w="70"/>
              <w:left w:type="dxa" w:w="110"/>
              <w:bottom w:type="dxa" w:w="70"/>
              <w:right w:type="dxa" w:w="110"/>
            </w:tcMar>
          </w:tcPr>
          <w:p>
            <w:pPr>
              <w:spacing w:after="0" w:line="264"/>
            </w:pPr>
            <w:r>
              <w:rPr>
                <w:color w:val="222222"/>
                <w:sz w:val="19"/>
                <w:szCs w:val="19"/>
              </w:rPr>
              <w:t xml:space="preserve">3D Pain &amp; Symptom Assessment Application (“3D BodyMap”)</w:t>
            </w:r>
          </w:p>
        </w:tc>
      </w:tr>
      <w:tr>
        <w:tc>
          <w:tcPr>
            <w:tcW w:type="dxa" w:w="2400"/>
            <w:shd w:fill="FFFFFF" w:color="auto" w:val="clear"/>
            <w:tcMar>
              <w:top w:type="dxa" w:w="70"/>
              <w:left w:type="dxa" w:w="110"/>
              <w:bottom w:type="dxa" w:w="70"/>
              <w:right w:type="dxa" w:w="110"/>
            </w:tcMar>
          </w:tcPr>
          <w:p>
            <w:pPr>
              <w:spacing w:after="0" w:line="264"/>
            </w:pPr>
            <w:r>
              <w:rPr>
                <w:color w:val="222222"/>
                <w:sz w:val="19"/>
                <w:szCs w:val="19"/>
              </w:rPr>
              <w:t xml:space="preserve">Prepared for</w:t>
            </w:r>
          </w:p>
        </w:tc>
        <w:tc>
          <w:tcPr>
            <w:tcW w:type="dxa" w:w="6960"/>
            <w:shd w:fill="FFFFFF" w:color="auto" w:val="clear"/>
            <w:tcMar>
              <w:top w:type="dxa" w:w="70"/>
              <w:left w:type="dxa" w:w="110"/>
              <w:bottom w:type="dxa" w:w="70"/>
              <w:right w:type="dxa" w:w="110"/>
            </w:tcMar>
          </w:tcPr>
          <w:p>
            <w:pPr>
              <w:spacing w:after="0" w:line="264"/>
            </w:pPr>
            <w:r>
              <w:rPr>
                <w:color w:val="222222"/>
                <w:sz w:val="19"/>
                <w:szCs w:val="19"/>
              </w:rPr>
              <w:t xml:space="preserve">Principal Investigator — CANSpine Team, Faculty of Health Sciences (MSK-IF), Western University</w:t>
            </w:r>
          </w:p>
        </w:tc>
      </w:tr>
      <w:tr>
        <w:tc>
          <w:tcPr>
            <w:tcW w:type="dxa" w:w="2400"/>
            <w:shd w:fill="EEF3F7" w:color="auto" w:val="clear"/>
            <w:tcMar>
              <w:top w:type="dxa" w:w="70"/>
              <w:left w:type="dxa" w:w="110"/>
              <w:bottom w:type="dxa" w:w="70"/>
              <w:right w:type="dxa" w:w="110"/>
            </w:tcMar>
          </w:tcPr>
          <w:p>
            <w:pPr>
              <w:spacing w:after="0" w:line="264"/>
            </w:pPr>
            <w:r>
              <w:rPr>
                <w:color w:val="222222"/>
                <w:sz w:val="19"/>
                <w:szCs w:val="19"/>
              </w:rPr>
              <w:t xml:space="preserve">Prepared by</w:t>
            </w:r>
          </w:p>
        </w:tc>
        <w:tc>
          <w:tcPr>
            <w:tcW w:type="dxa" w:w="6960"/>
            <w:shd w:fill="EEF3F7" w:color="auto" w:val="clear"/>
            <w:tcMar>
              <w:top w:type="dxa" w:w="70"/>
              <w:left w:type="dxa" w:w="110"/>
              <w:bottom w:type="dxa" w:w="70"/>
              <w:right w:type="dxa" w:w="110"/>
            </w:tcMar>
          </w:tcPr>
          <w:p>
            <w:pPr>
              <w:spacing w:after="0" w:line="264"/>
            </w:pPr>
            <w:r>
              <w:rPr>
                <w:color w:val="222222"/>
                <w:sz w:val="19"/>
                <w:szCs w:val="19"/>
              </w:rPr>
              <w:t xml:space="preserve">Development team (Jamie Kim)</w:t>
            </w:r>
          </w:p>
        </w:tc>
      </w:tr>
      <w:tr>
        <w:tc>
          <w:tcPr>
            <w:tcW w:type="dxa" w:w="2400"/>
            <w:shd w:fill="FFFFFF" w:color="auto" w:val="clear"/>
            <w:tcMar>
              <w:top w:type="dxa" w:w="70"/>
              <w:left w:type="dxa" w:w="110"/>
              <w:bottom w:type="dxa" w:w="70"/>
              <w:right w:type="dxa" w:w="110"/>
            </w:tcMar>
          </w:tcPr>
          <w:p>
            <w:pPr>
              <w:spacing w:after="0" w:line="264"/>
            </w:pPr>
            <w:r>
              <w:rPr>
                <w:color w:val="222222"/>
                <w:sz w:val="19"/>
                <w:szCs w:val="19"/>
              </w:rPr>
              <w:t xml:space="preserve">Status of tool</w:t>
            </w:r>
          </w:p>
        </w:tc>
        <w:tc>
          <w:tcPr>
            <w:tcW w:type="dxa" w:w="6960"/>
            <w:shd w:fill="FFFFFF" w:color="auto" w:val="clear"/>
            <w:tcMar>
              <w:top w:type="dxa" w:w="70"/>
              <w:left w:type="dxa" w:w="110"/>
              <w:bottom w:type="dxa" w:w="70"/>
              <w:right w:type="dxa" w:w="110"/>
            </w:tcMar>
          </w:tcPr>
          <w:p>
            <w:pPr>
              <w:spacing w:after="0" w:line="264"/>
            </w:pPr>
            <w:r>
              <w:rPr>
                <w:color w:val="222222"/>
                <w:sz w:val="19"/>
                <w:szCs w:val="19"/>
              </w:rPr>
              <w:t xml:space="preserve">Interim stand-alone web application (no backend); EmPOWER/SPINA integration pending</w:t>
            </w:r>
          </w:p>
        </w:tc>
      </w:tr>
      <w:tr>
        <w:tc>
          <w:tcPr>
            <w:tcW w:type="dxa" w:w="2400"/>
            <w:shd w:fill="EEF3F7" w:color="auto" w:val="clear"/>
            <w:tcMar>
              <w:top w:type="dxa" w:w="70"/>
              <w:left w:type="dxa" w:w="110"/>
              <w:bottom w:type="dxa" w:w="70"/>
              <w:right w:type="dxa" w:w="110"/>
            </w:tcMar>
          </w:tcPr>
          <w:p>
            <w:pPr>
              <w:spacing w:after="0" w:line="264"/>
            </w:pPr>
            <w:r>
              <w:rPr>
                <w:color w:val="222222"/>
                <w:sz w:val="19"/>
                <w:szCs w:val="19"/>
              </w:rPr>
              <w:t xml:space="preserve">Version / Date</w:t>
            </w:r>
          </w:p>
        </w:tc>
        <w:tc>
          <w:tcPr>
            <w:tcW w:type="dxa" w:w="6960"/>
            <w:shd w:fill="EEF3F7" w:color="auto" w:val="clear"/>
            <w:tcMar>
              <w:top w:type="dxa" w:w="70"/>
              <w:left w:type="dxa" w:w="110"/>
              <w:bottom w:type="dxa" w:w="70"/>
              <w:right w:type="dxa" w:w="110"/>
            </w:tcMar>
          </w:tcPr>
          <w:p>
            <w:pPr>
              <w:spacing w:after="0" w:line="264"/>
            </w:pPr>
            <w:r>
              <w:rPr>
                <w:color w:val="222222"/>
                <w:sz w:val="19"/>
                <w:szCs w:val="19"/>
              </w:rPr>
              <w:t xml:space="preserve">1.0 · 16 September 2026</w:t>
            </w:r>
          </w:p>
        </w:tc>
      </w:tr>
    </w:tbl>
    <w:p>
      <w:pPr>
        <w:pBdr>
          <w:bottom w:val="single" w:color="9BB4C4" w:sz="6" w:space="1"/>
        </w:pBdr>
        <w:spacing w:after="160" w:before="60"/>
      </w:pPr>
    </w:p>
    <w:p>
      <w:pPr>
        <w:pStyle w:val="Heading1"/>
        <w:spacing w:after="140" w:before="320"/>
      </w:pPr>
      <w:r>
        <w:rPr>
          <w:b/>
          <w:bCs/>
          <w:color w:val="1F3A5F"/>
          <w:sz w:val="30"/>
          <w:szCs w:val="30"/>
        </w:rPr>
        <w:t xml:space="preserve">How to use this document</w:t>
      </w:r>
    </w:p>
    <w:p>
      <w:pPr>
        <w:spacing w:after="120" w:line="276"/>
      </w:pPr>
      <w:r>
        <w:rPr>
          <w:color w:val="222222"/>
          <w:sz w:val="21"/>
          <w:szCs w:val="21"/>
        </w:rPr>
        <w:t xml:space="preserve">This document is an </w:t>
      </w:r>
      <w:r>
        <w:rPr>
          <w:b/>
          <w:bCs/>
          <w:color w:val="222222"/>
          <w:sz w:val="21"/>
          <w:szCs w:val="21"/>
        </w:rPr>
        <w:t xml:space="preserve">aid for the Principal Investigator (PI)</w:t>
      </w:r>
      <w:r>
        <w:rPr>
          <w:color w:val="222222"/>
          <w:sz w:val="21"/>
          <w:szCs w:val="21"/>
        </w:rPr>
        <w:t xml:space="preserve"> in preparing the study’s REB application. </w:t>
      </w:r>
      <w:r>
        <w:rPr>
          <w:b/>
          <w:bCs/>
          <w:color w:val="222222"/>
          <w:sz w:val="21"/>
          <w:szCs w:val="21"/>
        </w:rPr>
        <w:t xml:space="preserve">It is not the REB application itself.</w:t>
      </w:r>
      <w:r>
        <w:rPr>
          <w:color w:val="222222"/>
          <w:sz w:val="21"/>
          <w:szCs w:val="21"/>
        </w:rPr>
        <w:t xml:space="preserve"> Its purpose is to describe, in one place, </w:t>
      </w:r>
      <w:r>
        <w:rPr>
          <w:b/>
          <w:bCs/>
          <w:color w:val="222222"/>
          <w:sz w:val="21"/>
          <w:szCs w:val="21"/>
        </w:rPr>
        <w:t xml:space="preserve">what the application does</w:t>
      </w:r>
      <w:r>
        <w:rPr>
          <w:color w:val="222222"/>
          <w:sz w:val="21"/>
          <w:szCs w:val="21"/>
        </w:rPr>
        <w:t xml:space="preserve"> and </w:t>
      </w:r>
      <w:r>
        <w:rPr>
          <w:b/>
          <w:bCs/>
          <w:color w:val="222222"/>
          <w:sz w:val="21"/>
          <w:szCs w:val="21"/>
        </w:rPr>
        <w:t xml:space="preserve">the ethical and privacy measures already engineered into the tool</w:t>
      </w:r>
      <w:r>
        <w:rPr>
          <w:color w:val="222222"/>
          <w:sz w:val="21"/>
          <w:szCs w:val="21"/>
        </w:rPr>
        <w:t xml:space="preserve">, so the PI can draw on it when completing the official REB submission.</w:t>
      </w:r>
    </w:p>
    <w:p>
      <w:pPr>
        <w:spacing w:after="120" w:line="276"/>
      </w:pPr>
      <w:r>
        <w:rPr>
          <w:color w:val="222222"/>
          <w:sz w:val="21"/>
          <w:szCs w:val="21"/>
        </w:rPr>
        <w:t xml:space="preserve">It deliberately stays at the </w:t>
      </w:r>
      <w:r>
        <w:rPr>
          <w:b/>
          <w:bCs/>
          <w:color w:val="222222"/>
          <w:sz w:val="21"/>
          <w:szCs w:val="21"/>
        </w:rPr>
        <w:t xml:space="preserve">application level</w:t>
      </w:r>
      <w:r>
        <w:rPr>
          <w:color w:val="222222"/>
          <w:sz w:val="21"/>
          <w:szCs w:val="21"/>
        </w:rPr>
        <w:t xml:space="preserve"> and </w:t>
      </w:r>
      <w:r>
        <w:rPr>
          <w:b/>
          <w:bCs/>
          <w:color w:val="222222"/>
          <w:sz w:val="21"/>
          <w:szCs w:val="21"/>
        </w:rPr>
        <w:t xml:space="preserve">high level</w:t>
      </w:r>
      <w:r>
        <w:rPr>
          <w:color w:val="222222"/>
          <w:sz w:val="21"/>
          <w:szCs w:val="21"/>
        </w:rPr>
        <w:t xml:space="preserve">. It does </w:t>
      </w:r>
      <w:r>
        <w:rPr>
          <w:b/>
          <w:bCs/>
          <w:color w:val="222222"/>
          <w:sz w:val="21"/>
          <w:szCs w:val="21"/>
        </w:rPr>
        <w:t xml:space="preserve">not</w:t>
      </w:r>
      <w:r>
        <w:rPr>
          <w:color w:val="222222"/>
          <w:sz w:val="21"/>
          <w:szCs w:val="21"/>
        </w:rPr>
        <w:t xml:space="preserve"> author study-level content — recruitment, the full consent process and wording, risk/benefit analysis, investigator credentials, or the data-management plan — all of which are the PI’s to write. Where the application assumes something about the surrounding study (for example, that consent is obtained during enrolment, outside the tool), that assumption is flagged </w:t>
      </w:r>
      <w:r>
        <w:rPr>
          <w:b/>
          <w:bCs/>
          <w:color w:val="222222"/>
          <w:sz w:val="21"/>
          <w:szCs w:val="21"/>
        </w:rPr>
        <w:t xml:space="preserve">“For PI review”</w:t>
      </w:r>
      <w:r>
        <w:rPr>
          <w:color w:val="222222"/>
          <w:sz w:val="21"/>
          <w:szCs w:val="21"/>
        </w:rPr>
        <w:t xml:space="preserve"> so the PI knows to confirm and expand it.</w:t>
      </w:r>
    </w:p>
    <w:tbl>
      <w:tblPr>
        <w:tblW w:type="dxa" w:w="9360"/>
        <w:tblBorders>
          <w:top w:val="single" w:color="9BB4C4" w:sz="4"/>
          <w:left w:val="single" w:color="2E6E8E" w:sz="12"/>
          <w:bottom w:val="single" w:color="9BB4C4" w:sz="4"/>
          <w:right w:val="single" w:color="9BB4C4" w:sz="4"/>
          <w:insideH w:val="none"/>
          <w:insideV w:val="none"/>
        </w:tblBorders>
      </w:tblPr>
      <w:tblGrid>
        <w:gridCol w:w="9360"/>
      </w:tblGrid>
      <w:tr>
        <w:tc>
          <w:tcPr>
            <w:tcW w:type="dxa" w:w="9360"/>
            <w:shd w:fill="FBF3D9" w:color="auto" w:val="clear"/>
            <w:tcMar>
              <w:top w:type="dxa" w:w="120"/>
              <w:left w:type="dxa" w:w="160"/>
              <w:bottom w:type="dxa" w:w="120"/>
              <w:right w:type="dxa" w:w="160"/>
            </w:tcMar>
          </w:tcPr>
          <w:p>
            <w:pPr>
              <w:spacing w:after="0" w:line="268"/>
            </w:pPr>
            <w:r>
              <w:rPr>
                <w:color w:val="333333"/>
                <w:sz w:val="20"/>
                <w:szCs w:val="20"/>
              </w:rPr>
              <w:t xml:space="preserve">Disclaimer: This is descriptive supporting material, not a compliance determination. It makes no claim of REB approval. Final interpretation of ethics and privacy requirements should be confirmed with the Western University REB and the Privacy Office.</w:t>
            </w:r>
          </w:p>
        </w:tc>
      </w:tr>
    </w:tbl>
    <w:p>
      <w:pPr>
        <w:spacing w:after="120"/>
      </w:pPr>
    </w:p>
    <w:p>
      <w:pPr>
        <w:pStyle w:val="Heading1"/>
        <w:spacing w:after="140" w:before="320"/>
      </w:pPr>
      <w:r>
        <w:rPr>
          <w:b/>
          <w:bCs/>
          <w:color w:val="1F3A5F"/>
          <w:sz w:val="30"/>
          <w:szCs w:val="30"/>
        </w:rPr>
        <w:t xml:space="preserve">1. Purpose &amp; overview of the application</w:t>
      </w:r>
    </w:p>
    <w:p>
      <w:pPr>
        <w:spacing w:after="120" w:line="276"/>
      </w:pPr>
      <w:r>
        <w:rPr>
          <w:color w:val="222222"/>
          <w:sz w:val="21"/>
          <w:szCs w:val="21"/>
        </w:rPr>
        <w:t xml:space="preserve">3D BodyMap is a </w:t>
      </w:r>
      <w:r>
        <w:rPr>
          <w:b/>
          <w:bCs/>
          <w:color w:val="222222"/>
          <w:sz w:val="21"/>
          <w:szCs w:val="21"/>
        </w:rPr>
        <w:t xml:space="preserve">self-administered clinical tool for patient-reported pain and symptom assessment</w:t>
      </w:r>
      <w:r>
        <w:rPr>
          <w:color w:val="222222"/>
          <w:sz w:val="21"/>
          <w:szCs w:val="21"/>
        </w:rPr>
        <w:t xml:space="preserve">, with a focus on </w:t>
      </w:r>
      <w:r>
        <w:rPr>
          <w:b/>
          <w:bCs/>
          <w:color w:val="222222"/>
          <w:sz w:val="21"/>
          <w:szCs w:val="21"/>
        </w:rPr>
        <w:t xml:space="preserve">spinal pain</w:t>
      </w:r>
      <w:r>
        <w:rPr>
          <w:color w:val="222222"/>
          <w:sz w:val="21"/>
          <w:szCs w:val="21"/>
        </w:rPr>
        <w:t xml:space="preserve">. A participant draws the area(s) where they experience pain or symptoms directly onto an interactive 3D anatomical body model, then answers a short set of clinically developed questionnaires about each area and about their medication use. The questionnaire content was developed by the </w:t>
      </w:r>
      <w:r>
        <w:rPr>
          <w:b/>
          <w:bCs/>
          <w:color w:val="222222"/>
          <w:sz w:val="21"/>
          <w:szCs w:val="21"/>
        </w:rPr>
        <w:t xml:space="preserve">CANSpine Team at Western University</w:t>
      </w:r>
      <w:r>
        <w:rPr>
          <w:color w:val="222222"/>
          <w:sz w:val="21"/>
          <w:szCs w:val="21"/>
        </w:rPr>
        <w:t xml:space="preserve">.</w:t>
      </w:r>
    </w:p>
    <w:p>
      <w:pPr>
        <w:spacing w:after="120" w:line="276"/>
      </w:pPr>
      <w:r>
        <w:rPr>
          <w:color w:val="222222"/>
          <w:sz w:val="21"/>
          <w:szCs w:val="21"/>
        </w:rPr>
        <w:t xml:space="preserve">The tool currently runs as an </w:t>
      </w:r>
      <w:r>
        <w:rPr>
          <w:b/>
          <w:bCs/>
          <w:color w:val="222222"/>
          <w:sz w:val="21"/>
          <w:szCs w:val="21"/>
        </w:rPr>
        <w:t xml:space="preserve">interim, stand-alone web application with no backend</w:t>
      </w:r>
      <w:r>
        <w:rPr>
          <w:color w:val="222222"/>
          <w:sz w:val="21"/>
          <w:szCs w:val="21"/>
        </w:rPr>
        <w:t xml:space="preserve">. When a session is complete, the participant’s responses are packaged </w:t>
      </w:r>
      <w:r>
        <w:rPr>
          <w:b/>
          <w:bCs/>
          <w:color w:val="222222"/>
          <w:sz w:val="21"/>
          <w:szCs w:val="21"/>
        </w:rPr>
        <w:t xml:space="preserve">entirely in their browser</w:t>
      </w:r>
      <w:r>
        <w:rPr>
          <w:color w:val="222222"/>
          <w:sz w:val="21"/>
          <w:szCs w:val="21"/>
        </w:rPr>
        <w:t xml:space="preserve"> and </w:t>
      </w:r>
      <w:r>
        <w:rPr>
          <w:b/>
          <w:bCs/>
          <w:color w:val="222222"/>
          <w:sz w:val="21"/>
          <w:szCs w:val="21"/>
        </w:rPr>
        <w:t xml:space="preserve">downloaded as a single file</w:t>
      </w:r>
      <w:r>
        <w:rPr>
          <w:color w:val="222222"/>
          <w:sz w:val="21"/>
          <w:szCs w:val="21"/>
        </w:rPr>
        <w:t xml:space="preserve">, which is then stored on a </w:t>
      </w:r>
      <w:r>
        <w:rPr>
          <w:b/>
          <w:bCs/>
          <w:color w:val="222222"/>
          <w:sz w:val="21"/>
          <w:szCs w:val="21"/>
        </w:rPr>
        <w:t xml:space="preserve">provided encrypted device</w:t>
      </w:r>
      <w:r>
        <w:rPr>
          <w:color w:val="222222"/>
          <w:sz w:val="21"/>
          <w:szCs w:val="21"/>
        </w:rPr>
        <w:t xml:space="preserve">. A future integration with the EmPOWER/SPINA platform could transmit the same data instead, but no such transmission occurs today.</w:t>
      </w:r>
    </w:p>
    <w:p>
      <w:pPr>
        <w:pStyle w:val="Heading1"/>
        <w:spacing w:after="140" w:before="320"/>
      </w:pPr>
      <w:r>
        <w:rPr>
          <w:b/>
          <w:bCs/>
          <w:color w:val="1F3A5F"/>
          <w:sz w:val="30"/>
          <w:szCs w:val="30"/>
        </w:rPr>
        <w:t xml:space="preserve">2. What the application does (participant experience)</w:t>
      </w:r>
    </w:p>
    <w:p>
      <w:pPr>
        <w:spacing w:after="120" w:line="276"/>
      </w:pPr>
      <w:r>
        <w:rPr>
          <w:color w:val="222222"/>
          <w:sz w:val="21"/>
          <w:szCs w:val="21"/>
        </w:rPr>
        <w:t xml:space="preserve">The participant moves through a short, guided workflow:</w:t>
      </w:r>
    </w:p>
    <w:p>
      <w:pPr>
        <w:pStyle w:val="ListParagraph"/>
        <w:numPr>
          <w:ilvl w:val="0"/>
          <w:numId w:val="2"/>
        </w:numPr>
        <w:spacing w:after="90" w:line="272"/>
      </w:pPr>
      <w:r>
        <w:rPr>
          <w:b/>
          <w:bCs/>
          <w:color w:val="222222"/>
          <w:sz w:val="21"/>
          <w:szCs w:val="21"/>
        </w:rPr>
        <w:t xml:space="preserve">Select a body type</w:t>
      </w:r>
      <w:r>
        <w:rPr>
          <w:color w:val="222222"/>
          <w:sz w:val="21"/>
          <w:szCs w:val="21"/>
        </w:rPr>
        <w:t xml:space="preserve"> — choose between two anatomical models.</w:t>
      </w:r>
    </w:p>
    <w:p>
      <w:pPr>
        <w:pStyle w:val="ListParagraph"/>
        <w:numPr>
          <w:ilvl w:val="0"/>
          <w:numId w:val="2"/>
        </w:numPr>
        <w:spacing w:after="90" w:line="272"/>
      </w:pPr>
      <w:r>
        <w:rPr>
          <w:b/>
          <w:bCs/>
          <w:color w:val="222222"/>
          <w:sz w:val="21"/>
          <w:szCs w:val="21"/>
        </w:rPr>
        <w:t xml:space="preserve">Draw an area</w:t>
      </w:r>
      <w:r>
        <w:rPr>
          <w:color w:val="222222"/>
          <w:sz w:val="21"/>
          <w:szCs w:val="21"/>
        </w:rPr>
        <w:t xml:space="preserve"> — paint one area of pain or symptom onto the 3D body surface (with brush, eraser, and camera-rotation controls). A </w:t>
      </w:r>
      <w:r>
        <w:rPr>
          <w:b/>
          <w:bCs/>
          <w:color w:val="222222"/>
          <w:sz w:val="21"/>
          <w:szCs w:val="21"/>
        </w:rPr>
        <w:t xml:space="preserve">non-drawing, name-based alternative</w:t>
      </w:r>
      <w:r>
        <w:rPr>
          <w:color w:val="222222"/>
          <w:sz w:val="21"/>
          <w:szCs w:val="21"/>
        </w:rPr>
        <w:t xml:space="preserve"> is available for participants who cannot use fine pointer drawing: they select body regions by name from a guided menu (see Accessibility, §5).</w:t>
      </w:r>
    </w:p>
    <w:p>
      <w:pPr>
        <w:pStyle w:val="ListParagraph"/>
        <w:numPr>
          <w:ilvl w:val="0"/>
          <w:numId w:val="2"/>
        </w:numPr>
        <w:spacing w:after="90" w:line="272"/>
      </w:pPr>
      <w:r>
        <w:rPr>
          <w:b/>
          <w:bCs/>
          <w:color w:val="222222"/>
          <w:sz w:val="21"/>
          <w:szCs w:val="21"/>
        </w:rPr>
        <w:t xml:space="preserve">Complete the area questionnaire</w:t>
      </w:r>
      <w:r>
        <w:rPr>
          <w:color w:val="222222"/>
          <w:sz w:val="21"/>
          <w:szCs w:val="21"/>
        </w:rPr>
        <w:t xml:space="preserve"> — answer questions about that specific area.</w:t>
      </w:r>
    </w:p>
    <w:p>
      <w:pPr>
        <w:pStyle w:val="ListParagraph"/>
        <w:numPr>
          <w:ilvl w:val="0"/>
          <w:numId w:val="2"/>
        </w:numPr>
        <w:spacing w:after="90" w:line="272"/>
      </w:pPr>
      <w:r>
        <w:rPr>
          <w:b/>
          <w:bCs/>
          <w:color w:val="222222"/>
          <w:sz w:val="21"/>
          <w:szCs w:val="21"/>
        </w:rPr>
        <w:t xml:space="preserve">Repeat</w:t>
      </w:r>
      <w:r>
        <w:rPr>
          <w:color w:val="222222"/>
          <w:sz w:val="21"/>
          <w:szCs w:val="21"/>
        </w:rPr>
        <w:t xml:space="preserve"> — add additional pain/symptom areas as needed.</w:t>
      </w:r>
    </w:p>
    <w:p>
      <w:pPr>
        <w:pStyle w:val="ListParagraph"/>
        <w:numPr>
          <w:ilvl w:val="0"/>
          <w:numId w:val="2"/>
        </w:numPr>
        <w:spacing w:after="90" w:line="272"/>
      </w:pPr>
      <w:r>
        <w:rPr>
          <w:b/>
          <w:bCs/>
          <w:color w:val="222222"/>
          <w:sz w:val="21"/>
          <w:szCs w:val="21"/>
        </w:rPr>
        <w:t xml:space="preserve">Complete the general questionnaire</w:t>
      </w:r>
      <w:r>
        <w:rPr>
          <w:color w:val="222222"/>
          <w:sz w:val="21"/>
          <w:szCs w:val="21"/>
        </w:rPr>
        <w:t xml:space="preserve"> — answer questions about overall medication use.</w:t>
      </w:r>
    </w:p>
    <w:p>
      <w:pPr>
        <w:pStyle w:val="ListParagraph"/>
        <w:numPr>
          <w:ilvl w:val="0"/>
          <w:numId w:val="2"/>
        </w:numPr>
        <w:spacing w:after="90" w:line="272"/>
      </w:pPr>
      <w:r>
        <w:rPr>
          <w:b/>
          <w:bCs/>
          <w:color w:val="222222"/>
          <w:sz w:val="21"/>
          <w:szCs w:val="21"/>
        </w:rPr>
        <w:t xml:space="preserve">Save</w:t>
      </w:r>
      <w:r>
        <w:rPr>
          <w:color w:val="222222"/>
          <w:sz w:val="21"/>
          <w:szCs w:val="21"/>
        </w:rPr>
        <w:t xml:space="preserve"> — the session is assembled and downloaded; the participant saves the file to the provided encrypted device and confirms they have done so before finishing.</w:t>
      </w:r>
    </w:p>
    <w:p>
      <w:pPr>
        <w:pStyle w:val="Heading1"/>
        <w:spacing w:after="140" w:before="320"/>
      </w:pPr>
      <w:r>
        <w:rPr>
          <w:b/>
          <w:bCs/>
          <w:color w:val="1F3A5F"/>
          <w:sz w:val="30"/>
          <w:szCs w:val="30"/>
        </w:rPr>
        <w:t xml:space="preserve">3. Technology stack &amp; hosting</w:t>
      </w:r>
    </w:p>
    <w:p>
      <w:pPr>
        <w:pStyle w:val="Heading2"/>
        <w:spacing w:after="100" w:before="220"/>
      </w:pPr>
      <w:r>
        <w:rPr>
          <w:b/>
          <w:bCs/>
          <w:color w:val="2E6E8E"/>
          <w:sz w:val="25"/>
          <w:szCs w:val="25"/>
        </w:rPr>
        <w:t xml:space="preserve">Technologies used</w:t>
      </w:r>
    </w:p>
    <w:tbl>
      <w:tblPr>
        <w:tblW w:type="dxa" w:w="9360"/>
        <w:tblBorders>
          <w:top w:val="single" w:color="9BB4C4" w:sz="2"/>
          <w:left w:val="single" w:color="9BB4C4" w:sz="2"/>
          <w:bottom w:val="single" w:color="9BB4C4" w:sz="2"/>
          <w:right w:val="single" w:color="9BB4C4" w:sz="2"/>
          <w:insideH w:val="single" w:color="9BB4C4" w:sz="2"/>
          <w:insideV w:val="single" w:color="9BB4C4" w:sz="2"/>
        </w:tblBorders>
      </w:tblPr>
      <w:tblGrid>
        <w:gridCol w:w="2900"/>
        <w:gridCol w:w="3100"/>
        <w:gridCol w:w="3360"/>
      </w:tblGrid>
      <w:tr>
        <w:trPr>
          <w:tblHeader/>
        </w:trPr>
        <w:tc>
          <w:tcPr>
            <w:tcW w:type="dxa" w:w="2900"/>
            <w:shd w:fill="1F3A5F" w:color="auto" w:val="clear"/>
            <w:tcMar>
              <w:top w:type="dxa" w:w="80"/>
              <w:left w:type="dxa" w:w="110"/>
              <w:bottom w:type="dxa" w:w="80"/>
              <w:right w:type="dxa" w:w="110"/>
            </w:tcMar>
          </w:tcPr>
          <w:p>
            <w:pPr>
              <w:spacing w:after="0"/>
            </w:pPr>
            <w:r>
              <w:rPr>
                <w:b/>
                <w:bCs/>
                <w:color w:val="FFFFFF"/>
                <w:sz w:val="19"/>
                <w:szCs w:val="19"/>
              </w:rPr>
              <w:t xml:space="preserve">Technology</w:t>
            </w:r>
          </w:p>
        </w:tc>
        <w:tc>
          <w:tcPr>
            <w:tcW w:type="dxa" w:w="3100"/>
            <w:shd w:fill="1F3A5F" w:color="auto" w:val="clear"/>
            <w:tcMar>
              <w:top w:type="dxa" w:w="80"/>
              <w:left w:type="dxa" w:w="110"/>
              <w:bottom w:type="dxa" w:w="80"/>
              <w:right w:type="dxa" w:w="110"/>
            </w:tcMar>
          </w:tcPr>
          <w:p>
            <w:pPr>
              <w:spacing w:after="0"/>
            </w:pPr>
            <w:r>
              <w:rPr>
                <w:b/>
                <w:bCs/>
                <w:color w:val="FFFFFF"/>
                <w:sz w:val="19"/>
                <w:szCs w:val="19"/>
              </w:rPr>
              <w:t xml:space="preserve">Purpose</w:t>
            </w:r>
          </w:p>
        </w:tc>
        <w:tc>
          <w:tcPr>
            <w:tcW w:type="dxa" w:w="3360"/>
            <w:shd w:fill="1F3A5F" w:color="auto" w:val="clear"/>
            <w:tcMar>
              <w:top w:type="dxa" w:w="80"/>
              <w:left w:type="dxa" w:w="110"/>
              <w:bottom w:type="dxa" w:w="80"/>
              <w:right w:type="dxa" w:w="110"/>
            </w:tcMar>
          </w:tcPr>
          <w:p>
            <w:pPr>
              <w:spacing w:after="0"/>
            </w:pPr>
            <w:r>
              <w:rPr>
                <w:b/>
                <w:bCs/>
                <w:color w:val="FFFFFF"/>
                <w:sz w:val="19"/>
                <w:szCs w:val="19"/>
              </w:rPr>
              <w:t xml:space="preserve">Ethics-relevant note</w:t>
            </w:r>
          </w:p>
        </w:tc>
      </w:tr>
      <w:tr>
        <w:tc>
          <w:tcPr>
            <w:tcW w:type="dxa" w:w="2900"/>
            <w:shd w:fill="EEF3F7" w:color="auto" w:val="clear"/>
            <w:tcMar>
              <w:top w:type="dxa" w:w="70"/>
              <w:left w:type="dxa" w:w="110"/>
              <w:bottom w:type="dxa" w:w="70"/>
              <w:right w:type="dxa" w:w="110"/>
            </w:tcMar>
          </w:tcPr>
          <w:p>
            <w:pPr>
              <w:spacing w:after="0" w:line="264"/>
            </w:pPr>
            <w:r>
              <w:rPr>
                <w:color w:val="222222"/>
                <w:sz w:val="19"/>
                <w:szCs w:val="19"/>
              </w:rPr>
              <w:t xml:space="preserve">Vanilla ES modules (no framework, no build step)</w:t>
            </w:r>
          </w:p>
        </w:tc>
        <w:tc>
          <w:tcPr>
            <w:tcW w:type="dxa" w:w="3100"/>
            <w:shd w:fill="EEF3F7" w:color="auto" w:val="clear"/>
            <w:tcMar>
              <w:top w:type="dxa" w:w="70"/>
              <w:left w:type="dxa" w:w="110"/>
              <w:bottom w:type="dxa" w:w="70"/>
              <w:right w:type="dxa" w:w="110"/>
            </w:tcMar>
          </w:tcPr>
          <w:p>
            <w:pPr>
              <w:spacing w:after="0" w:line="264"/>
            </w:pPr>
            <w:r>
              <w:rPr>
                <w:color w:val="222222"/>
                <w:sz w:val="19"/>
                <w:szCs w:val="19"/>
              </w:rPr>
              <w:t xml:space="preserve">Application code</w:t>
            </w:r>
          </w:p>
        </w:tc>
        <w:tc>
          <w:tcPr>
            <w:tcW w:type="dxa" w:w="3360"/>
            <w:shd w:fill="EEF3F7" w:color="auto" w:val="clear"/>
            <w:tcMar>
              <w:top w:type="dxa" w:w="70"/>
              <w:left w:type="dxa" w:w="110"/>
              <w:bottom w:type="dxa" w:w="70"/>
              <w:right w:type="dxa" w:w="110"/>
            </w:tcMar>
          </w:tcPr>
          <w:p>
            <w:pPr>
              <w:spacing w:after="0" w:line="264"/>
            </w:pPr>
            <w:r>
              <w:rPr>
                <w:color w:val="222222"/>
                <w:sz w:val="19"/>
                <w:szCs w:val="19"/>
              </w:rPr>
              <w:t xml:space="preserve">Runs directly in the browser; nothing compiled or obfuscated</w:t>
            </w:r>
          </w:p>
        </w:tc>
      </w:tr>
      <w:tr>
        <w:tc>
          <w:tcPr>
            <w:tcW w:type="dxa" w:w="2900"/>
            <w:shd w:fill="FFFFFF" w:color="auto" w:val="clear"/>
            <w:tcMar>
              <w:top w:type="dxa" w:w="70"/>
              <w:left w:type="dxa" w:w="110"/>
              <w:bottom w:type="dxa" w:w="70"/>
              <w:right w:type="dxa" w:w="110"/>
            </w:tcMar>
          </w:tcPr>
          <w:p>
            <w:pPr>
              <w:spacing w:after="0" w:line="264"/>
            </w:pPr>
            <w:r>
              <w:rPr>
                <w:color w:val="222222"/>
                <w:sz w:val="19"/>
                <w:szCs w:val="19"/>
              </w:rPr>
              <w:t xml:space="preserve">Three.js</w:t>
            </w:r>
          </w:p>
        </w:tc>
        <w:tc>
          <w:tcPr>
            <w:tcW w:type="dxa" w:w="3100"/>
            <w:shd w:fill="FFFFFF" w:color="auto" w:val="clear"/>
            <w:tcMar>
              <w:top w:type="dxa" w:w="70"/>
              <w:left w:type="dxa" w:w="110"/>
              <w:bottom w:type="dxa" w:w="70"/>
              <w:right w:type="dxa" w:w="110"/>
            </w:tcMar>
          </w:tcPr>
          <w:p>
            <w:pPr>
              <w:spacing w:after="0" w:line="264"/>
            </w:pPr>
            <w:r>
              <w:rPr>
                <w:color w:val="222222"/>
                <w:sz w:val="19"/>
                <w:szCs w:val="19"/>
              </w:rPr>
              <w:t xml:space="preserve">3D model rendering and drawing</w:t>
            </w:r>
          </w:p>
        </w:tc>
        <w:tc>
          <w:tcPr>
            <w:tcW w:type="dxa" w:w="3360"/>
            <w:shd w:fill="FFFFFF" w:color="auto" w:val="clear"/>
            <w:tcMar>
              <w:top w:type="dxa" w:w="70"/>
              <w:left w:type="dxa" w:w="110"/>
              <w:bottom w:type="dxa" w:w="70"/>
              <w:right w:type="dxa" w:w="110"/>
            </w:tcMar>
          </w:tcPr>
          <w:p>
            <w:pPr>
              <w:spacing w:after="0" w:line="264"/>
            </w:pPr>
            <w:r>
              <w:rPr>
                <w:color w:val="222222"/>
                <w:sz w:val="19"/>
                <w:szCs w:val="19"/>
              </w:rPr>
              <w:t xml:space="preserve">Self-hosted (see below)</w:t>
            </w:r>
          </w:p>
        </w:tc>
      </w:tr>
      <w:tr>
        <w:tc>
          <w:tcPr>
            <w:tcW w:type="dxa" w:w="2900"/>
            <w:shd w:fill="EEF3F7" w:color="auto" w:val="clear"/>
            <w:tcMar>
              <w:top w:type="dxa" w:w="70"/>
              <w:left w:type="dxa" w:w="110"/>
              <w:bottom w:type="dxa" w:w="70"/>
              <w:right w:type="dxa" w:w="110"/>
            </w:tcMar>
          </w:tcPr>
          <w:p>
            <w:pPr>
              <w:spacing w:after="0" w:line="264"/>
            </w:pPr>
            <w:r>
              <w:rPr>
                <w:color w:val="222222"/>
                <w:sz w:val="19"/>
                <w:szCs w:val="19"/>
              </w:rPr>
              <w:t xml:space="preserve">SurveyJS</w:t>
            </w:r>
          </w:p>
        </w:tc>
        <w:tc>
          <w:tcPr>
            <w:tcW w:type="dxa" w:w="3100"/>
            <w:shd w:fill="EEF3F7" w:color="auto" w:val="clear"/>
            <w:tcMar>
              <w:top w:type="dxa" w:w="70"/>
              <w:left w:type="dxa" w:w="110"/>
              <w:bottom w:type="dxa" w:w="70"/>
              <w:right w:type="dxa" w:w="110"/>
            </w:tcMar>
          </w:tcPr>
          <w:p>
            <w:pPr>
              <w:spacing w:after="0" w:line="264"/>
            </w:pPr>
            <w:r>
              <w:rPr>
                <w:color w:val="222222"/>
                <w:sz w:val="19"/>
                <w:szCs w:val="19"/>
              </w:rPr>
              <w:t xml:space="preserve">Questionnaire rendering and validation</w:t>
            </w:r>
          </w:p>
        </w:tc>
        <w:tc>
          <w:tcPr>
            <w:tcW w:type="dxa" w:w="3360"/>
            <w:shd w:fill="EEF3F7" w:color="auto" w:val="clear"/>
            <w:tcMar>
              <w:top w:type="dxa" w:w="70"/>
              <w:left w:type="dxa" w:w="110"/>
              <w:bottom w:type="dxa" w:w="70"/>
              <w:right w:type="dxa" w:w="110"/>
            </w:tcMar>
          </w:tcPr>
          <w:p>
            <w:pPr>
              <w:spacing w:after="0" w:line="264"/>
            </w:pPr>
            <w:r>
              <w:rPr>
                <w:color w:val="222222"/>
                <w:sz w:val="19"/>
                <w:szCs w:val="19"/>
              </w:rPr>
              <w:t xml:space="preserve">Self-hosted</w:t>
            </w:r>
          </w:p>
        </w:tc>
      </w:tr>
      <w:tr>
        <w:tc>
          <w:tcPr>
            <w:tcW w:type="dxa" w:w="2900"/>
            <w:shd w:fill="FFFFFF" w:color="auto" w:val="clear"/>
            <w:tcMar>
              <w:top w:type="dxa" w:w="70"/>
              <w:left w:type="dxa" w:w="110"/>
              <w:bottom w:type="dxa" w:w="70"/>
              <w:right w:type="dxa" w:w="110"/>
            </w:tcMar>
          </w:tcPr>
          <w:p>
            <w:pPr>
              <w:spacing w:after="0" w:line="264"/>
            </w:pPr>
            <w:r>
              <w:rPr>
                <w:color w:val="222222"/>
                <w:sz w:val="19"/>
                <w:szCs w:val="19"/>
              </w:rPr>
              <w:t xml:space="preserve">Driver.js</w:t>
            </w:r>
          </w:p>
        </w:tc>
        <w:tc>
          <w:tcPr>
            <w:tcW w:type="dxa" w:w="3100"/>
            <w:shd w:fill="FFFFFF" w:color="auto" w:val="clear"/>
            <w:tcMar>
              <w:top w:type="dxa" w:w="70"/>
              <w:left w:type="dxa" w:w="110"/>
              <w:bottom w:type="dxa" w:w="70"/>
              <w:right w:type="dxa" w:w="110"/>
            </w:tcMar>
          </w:tcPr>
          <w:p>
            <w:pPr>
              <w:spacing w:after="0" w:line="264"/>
            </w:pPr>
            <w:r>
              <w:rPr>
                <w:color w:val="222222"/>
                <w:sz w:val="19"/>
                <w:szCs w:val="19"/>
              </w:rPr>
              <w:t xml:space="preserve">On-screen usage tips</w:t>
            </w:r>
          </w:p>
        </w:tc>
        <w:tc>
          <w:tcPr>
            <w:tcW w:type="dxa" w:w="3360"/>
            <w:shd w:fill="FFFFFF" w:color="auto" w:val="clear"/>
            <w:tcMar>
              <w:top w:type="dxa" w:w="70"/>
              <w:left w:type="dxa" w:w="110"/>
              <w:bottom w:type="dxa" w:w="70"/>
              <w:right w:type="dxa" w:w="110"/>
            </w:tcMar>
          </w:tcPr>
          <w:p>
            <w:pPr>
              <w:spacing w:after="0" w:line="264"/>
            </w:pPr>
            <w:r>
              <w:rPr>
                <w:color w:val="222222"/>
                <w:sz w:val="19"/>
                <w:szCs w:val="19"/>
              </w:rPr>
              <w:t xml:space="preserve">Self-hosted</w:t>
            </w:r>
          </w:p>
        </w:tc>
      </w:tr>
      <w:tr>
        <w:tc>
          <w:tcPr>
            <w:tcW w:type="dxa" w:w="2900"/>
            <w:shd w:fill="EEF3F7" w:color="auto" w:val="clear"/>
            <w:tcMar>
              <w:top w:type="dxa" w:w="70"/>
              <w:left w:type="dxa" w:w="110"/>
              <w:bottom w:type="dxa" w:w="70"/>
              <w:right w:type="dxa" w:w="110"/>
            </w:tcMar>
          </w:tcPr>
          <w:p>
            <w:pPr>
              <w:spacing w:after="0" w:line="264"/>
            </w:pPr>
            <w:r>
              <w:rPr>
                <w:color w:val="222222"/>
                <w:sz w:val="19"/>
                <w:szCs w:val="19"/>
              </w:rPr>
              <w:t xml:space="preserve">Font Awesome, Inter font</w:t>
            </w:r>
          </w:p>
        </w:tc>
        <w:tc>
          <w:tcPr>
            <w:tcW w:type="dxa" w:w="3100"/>
            <w:shd w:fill="EEF3F7" w:color="auto" w:val="clear"/>
            <w:tcMar>
              <w:top w:type="dxa" w:w="70"/>
              <w:left w:type="dxa" w:w="110"/>
              <w:bottom w:type="dxa" w:w="70"/>
              <w:right w:type="dxa" w:w="110"/>
            </w:tcMar>
          </w:tcPr>
          <w:p>
            <w:pPr>
              <w:spacing w:after="0" w:line="264"/>
            </w:pPr>
            <w:r>
              <w:rPr>
                <w:color w:val="222222"/>
                <w:sz w:val="19"/>
                <w:szCs w:val="19"/>
              </w:rPr>
              <w:t xml:space="preserve">Icons and typography</w:t>
            </w:r>
          </w:p>
        </w:tc>
        <w:tc>
          <w:tcPr>
            <w:tcW w:type="dxa" w:w="3360"/>
            <w:shd w:fill="EEF3F7" w:color="auto" w:val="clear"/>
            <w:tcMar>
              <w:top w:type="dxa" w:w="70"/>
              <w:left w:type="dxa" w:w="110"/>
              <w:bottom w:type="dxa" w:w="70"/>
              <w:right w:type="dxa" w:w="110"/>
            </w:tcMar>
          </w:tcPr>
          <w:p>
            <w:pPr>
              <w:spacing w:after="0" w:line="264"/>
            </w:pPr>
            <w:r>
              <w:rPr>
                <w:color w:val="222222"/>
                <w:sz w:val="19"/>
                <w:szCs w:val="19"/>
              </w:rPr>
              <w:t xml:space="preserve">Self-hosted (no Google Fonts)</w:t>
            </w:r>
          </w:p>
        </w:tc>
      </w:tr>
      <w:tr>
        <w:tc>
          <w:tcPr>
            <w:tcW w:type="dxa" w:w="2900"/>
            <w:shd w:fill="FFFFFF" w:color="auto" w:val="clear"/>
            <w:tcMar>
              <w:top w:type="dxa" w:w="70"/>
              <w:left w:type="dxa" w:w="110"/>
              <w:bottom w:type="dxa" w:w="70"/>
              <w:right w:type="dxa" w:w="110"/>
            </w:tcMar>
          </w:tcPr>
          <w:p>
            <w:pPr>
              <w:spacing w:after="0" w:line="264"/>
            </w:pPr>
            <w:r>
              <w:rPr>
                <w:color w:val="222222"/>
                <w:sz w:val="19"/>
                <w:szCs w:val="19"/>
              </w:rPr>
              <w:t xml:space="preserve">JSZip</w:t>
            </w:r>
          </w:p>
        </w:tc>
        <w:tc>
          <w:tcPr>
            <w:tcW w:type="dxa" w:w="3100"/>
            <w:shd w:fill="FFFFFF" w:color="auto" w:val="clear"/>
            <w:tcMar>
              <w:top w:type="dxa" w:w="70"/>
              <w:left w:type="dxa" w:w="110"/>
              <w:bottom w:type="dxa" w:w="70"/>
              <w:right w:type="dxa" w:w="110"/>
            </w:tcMar>
          </w:tcPr>
          <w:p>
            <w:pPr>
              <w:spacing w:after="0" w:line="264"/>
            </w:pPr>
            <w:r>
              <w:rPr>
                <w:color w:val="222222"/>
                <w:sz w:val="19"/>
                <w:szCs w:val="19"/>
              </w:rPr>
              <w:t xml:space="preserve">Bundles the response file in the browser</w:t>
            </w:r>
          </w:p>
        </w:tc>
        <w:tc>
          <w:tcPr>
            <w:tcW w:type="dxa" w:w="3360"/>
            <w:shd w:fill="FFFFFF" w:color="auto" w:val="clear"/>
            <w:tcMar>
              <w:top w:type="dxa" w:w="70"/>
              <w:left w:type="dxa" w:w="110"/>
              <w:bottom w:type="dxa" w:w="70"/>
              <w:right w:type="dxa" w:w="110"/>
            </w:tcMar>
          </w:tcPr>
          <w:p>
            <w:pPr>
              <w:spacing w:after="0" w:line="264"/>
            </w:pPr>
            <w:r>
              <w:rPr>
                <w:color w:val="222222"/>
                <w:sz w:val="19"/>
                <w:szCs w:val="19"/>
              </w:rPr>
              <w:t xml:space="preserve">Client-side only; no upload</w:t>
            </w:r>
          </w:p>
        </w:tc>
      </w:tr>
    </w:tbl>
    <w:p>
      <w:pPr>
        <w:spacing w:after="80"/>
      </w:pPr>
    </w:p>
    <w:p>
      <w:pPr>
        <w:spacing w:after="120" w:line="276"/>
      </w:pPr>
      <w:r>
        <w:rPr>
          <w:b/>
          <w:bCs/>
          <w:color w:val="222222"/>
          <w:sz w:val="21"/>
          <w:szCs w:val="21"/>
        </w:rPr>
        <w:t xml:space="preserve">All third-party libraries, stylesheets, and fonts are self-hosted from the application’s own origin.</w:t>
      </w:r>
      <w:r>
        <w:rPr>
          <w:color w:val="222222"/>
          <w:sz w:val="21"/>
          <w:szCs w:val="21"/>
        </w:rPr>
        <w:t xml:space="preserve"> The participant’s browser is not asked to contact any third-party CDN, font service, or analytics provider. This is itself a privacy measure: no outside party receives the participant’s IP address or any signal that they are using the tool.</w:t>
      </w:r>
    </w:p>
    <w:p>
      <w:pPr>
        <w:pStyle w:val="Heading2"/>
        <w:spacing w:after="100" w:before="220"/>
      </w:pPr>
      <w:r>
        <w:rPr>
          <w:b/>
          <w:bCs/>
          <w:color w:val="2E6E8E"/>
          <w:sz w:val="25"/>
          <w:szCs w:val="25"/>
        </w:rPr>
        <w:t xml:space="preserve">Hosting &amp; deployment</w:t>
      </w:r>
    </w:p>
    <w:p>
      <w:pPr>
        <w:spacing w:after="120" w:line="276"/>
      </w:pPr>
      <w:r>
        <w:rPr>
          <w:color w:val="222222"/>
          <w:sz w:val="21"/>
          <w:szCs w:val="21"/>
        </w:rPr>
        <w:t xml:space="preserve">The application is a </w:t>
      </w:r>
      <w:r>
        <w:rPr>
          <w:b/>
          <w:bCs/>
          <w:color w:val="222222"/>
          <w:sz w:val="21"/>
          <w:szCs w:val="21"/>
        </w:rPr>
        <w:t xml:space="preserve">fully static site hosted on Cloudflare Pages</w:t>
      </w:r>
      <w:r>
        <w:rPr>
          <w:color w:val="222222"/>
          <w:sz w:val="21"/>
          <w:szCs w:val="21"/>
        </w:rPr>
        <w:t xml:space="preserve">, published directly from the code repository. There is </w:t>
      </w:r>
      <w:r>
        <w:rPr>
          <w:b/>
          <w:bCs/>
          <w:color w:val="222222"/>
          <w:sz w:val="21"/>
          <w:szCs w:val="21"/>
        </w:rPr>
        <w:t xml:space="preserve">no server-side application logic</w:t>
      </w:r>
      <w:r>
        <w:rPr>
          <w:color w:val="222222"/>
          <w:sz w:val="21"/>
          <w:szCs w:val="21"/>
        </w:rPr>
        <w:t xml:space="preserve"> handling participant data. The only server-side component is a small </w:t>
      </w:r>
      <w:r>
        <w:rPr>
          <w:b/>
          <w:bCs/>
          <w:color w:val="222222"/>
          <w:sz w:val="21"/>
          <w:szCs w:val="21"/>
        </w:rPr>
        <w:t xml:space="preserve">Cloudflare Pages Function</w:t>
      </w:r>
      <w:r>
        <w:rPr>
          <w:color w:val="222222"/>
          <w:sz w:val="21"/>
          <w:szCs w:val="21"/>
        </w:rPr>
        <w:t xml:space="preserve"> that proxies the private 3D-model asset files (the body models, a texture, and preview thumbnails) from a private content delivery network, so those files are served from the application’s own domain. The real source URL is held in Cloudflare environment variables (never in the code or exposed to the browser), and this component </w:t>
      </w:r>
      <w:r>
        <w:rPr>
          <w:b/>
          <w:bCs/>
          <w:color w:val="222222"/>
          <w:sz w:val="21"/>
          <w:szCs w:val="21"/>
        </w:rPr>
        <w:t xml:space="preserve">handles no participant data</w:t>
      </w:r>
      <w:r>
        <w:rPr>
          <w:color w:val="222222"/>
          <w:sz w:val="21"/>
          <w:szCs w:val="21"/>
        </w:rPr>
        <w:t xml:space="preserve">.</w:t>
      </w:r>
    </w:p>
    <w:p>
      <w:pPr>
        <w:spacing w:after="120" w:line="276"/>
      </w:pPr>
      <w:r>
        <w:rPr>
          <w:color w:val="222222"/>
          <w:sz w:val="21"/>
          <w:szCs w:val="21"/>
        </w:rPr>
        <w:t xml:space="preserve">Because participant responses are never uploaded, </w:t>
      </w:r>
      <w:r>
        <w:rPr>
          <w:b/>
          <w:bCs/>
          <w:color w:val="222222"/>
          <w:sz w:val="21"/>
          <w:szCs w:val="21"/>
        </w:rPr>
        <w:t xml:space="preserve">the host stores no participant data</w:t>
      </w:r>
      <w:r>
        <w:rPr>
          <w:color w:val="222222"/>
          <w:sz w:val="21"/>
          <w:szCs w:val="21"/>
        </w:rPr>
        <w:t xml:space="preserve">. As with any hosted web page, the host does see the participant’s </w:t>
      </w:r>
      <w:r>
        <w:rPr>
          <w:b/>
          <w:bCs/>
          <w:color w:val="222222"/>
          <w:sz w:val="21"/>
          <w:szCs w:val="21"/>
        </w:rPr>
        <w:t xml:space="preserve">IP address</w:t>
      </w:r>
      <w:r>
        <w:rPr>
          <w:color w:val="222222"/>
          <w:sz w:val="21"/>
          <w:szCs w:val="21"/>
        </w:rPr>
        <w:t xml:space="preserve"> as an inherent part of serving the page; this is a </w:t>
      </w:r>
      <w:r>
        <w:rPr>
          <w:b/>
          <w:bCs/>
          <w:color w:val="222222"/>
          <w:sz w:val="21"/>
          <w:szCs w:val="21"/>
        </w:rPr>
        <w:t xml:space="preserve">data-residency consideration</w:t>
      </w:r>
      <w:r>
        <w:rPr>
          <w:color w:val="222222"/>
          <w:sz w:val="21"/>
          <w:szCs w:val="21"/>
        </w:rPr>
        <w:t xml:space="preserve"> addressed in the separate Data Residency Decision Review, not an item of in-app data collection.</w:t>
      </w:r>
    </w:p>
    <w:p>
      <w:pPr>
        <w:pStyle w:val="Heading2"/>
        <w:spacing w:after="100" w:before="220"/>
      </w:pPr>
      <w:r>
        <w:rPr>
          <w:b/>
          <w:bCs/>
          <w:color w:val="2E6E8E"/>
          <w:sz w:val="25"/>
          <w:szCs w:val="25"/>
        </w:rPr>
        <w:t xml:space="preserve">Hosting security posture</w:t>
      </w:r>
    </w:p>
    <w:p>
      <w:pPr>
        <w:spacing w:after="120" w:line="276"/>
      </w:pPr>
      <w:r>
        <w:rPr>
          <w:color w:val="222222"/>
          <w:sz w:val="21"/>
          <w:szCs w:val="21"/>
        </w:rPr>
        <w:t xml:space="preserve">The security posture is anchored in the architecture: because the application has </w:t>
      </w:r>
      <w:r>
        <w:rPr>
          <w:b/>
          <w:bCs/>
          <w:color w:val="222222"/>
          <w:sz w:val="21"/>
          <w:szCs w:val="21"/>
        </w:rPr>
        <w:t xml:space="preserve">no backend, no database, and transmits no participant data, there is no server-side store of responses that could be breached.</w:t>
      </w:r>
      <w:r>
        <w:rPr>
          <w:color w:val="222222"/>
          <w:sz w:val="21"/>
          <w:szCs w:val="21"/>
        </w:rPr>
        <w:t xml:space="preserve"> The server-side attack surface for participant data is effectively eliminated. The remaining hosting considerations are generic and low-risk:</w:t>
      </w:r>
    </w:p>
    <w:p>
      <w:pPr>
        <w:pStyle w:val="ListParagraph"/>
        <w:numPr>
          <w:ilvl w:val="0"/>
          <w:numId w:val="3"/>
        </w:numPr>
        <w:spacing w:after="90" w:line="272"/>
      </w:pPr>
      <w:r>
        <w:rPr>
          <w:b/>
          <w:bCs/>
          <w:color w:val="222222"/>
          <w:sz w:val="21"/>
          <w:szCs w:val="21"/>
        </w:rPr>
        <w:t xml:space="preserve">Encrypted transport (HTTPS/TLS).</w:t>
      </w:r>
      <w:r>
        <w:rPr>
          <w:color w:val="222222"/>
          <w:sz w:val="21"/>
          <w:szCs w:val="21"/>
        </w:rPr>
        <w:t xml:space="preserve"> Cloudflare Pages automatically </w:t>
      </w:r>
      <w:r>
        <w:rPr>
          <w:b/>
          <w:bCs/>
          <w:color w:val="222222"/>
          <w:sz w:val="21"/>
          <w:szCs w:val="21"/>
        </w:rPr>
        <w:t xml:space="preserve">redirects HTTP requests to secure HTTPS</w:t>
      </w:r>
      <w:r>
        <w:rPr>
          <w:color w:val="222222"/>
          <w:sz w:val="21"/>
          <w:szCs w:val="21"/>
        </w:rPr>
        <w:t xml:space="preserve">, and the application requires HTTPS to run.</w:t>
      </w:r>
    </w:p>
    <w:p>
      <w:pPr>
        <w:pStyle w:val="ListParagraph"/>
        <w:numPr>
          <w:ilvl w:val="0"/>
          <w:numId w:val="3"/>
        </w:numPr>
        <w:spacing w:after="90" w:line="272"/>
      </w:pPr>
      <w:r>
        <w:rPr>
          <w:b/>
          <w:bCs/>
          <w:color w:val="222222"/>
          <w:sz w:val="21"/>
          <w:szCs w:val="21"/>
        </w:rPr>
        <w:t xml:space="preserve">Publicly reachable URL, no login.</w:t>
      </w:r>
      <w:r>
        <w:rPr>
          <w:color w:val="222222"/>
          <w:sz w:val="21"/>
          <w:szCs w:val="21"/>
        </w:rPr>
        <w:t xml:space="preserve"> Anyone with the link can open the tool, but since nothing is stored on the server, unauthorized use only ever produces a file on that person’s own machine — no participant data is exposed. </w:t>
      </w:r>
      <w:r>
        <w:rPr>
          <w:i/>
          <w:iCs/>
          <w:color w:val="222222"/>
          <w:sz w:val="21"/>
          <w:szCs w:val="21"/>
        </w:rPr>
        <w:t xml:space="preserve">Who</w:t>
      </w:r>
      <w:r>
        <w:rPr>
          <w:color w:val="222222"/>
          <w:sz w:val="21"/>
          <w:szCs w:val="21"/>
        </w:rPr>
        <w:t xml:space="preserve"> participates is controlled by study enrolment, not by the application.</w:t>
      </w:r>
    </w:p>
    <w:p>
      <w:pPr>
        <w:pStyle w:val="ListParagraph"/>
        <w:numPr>
          <w:ilvl w:val="0"/>
          <w:numId w:val="3"/>
        </w:numPr>
        <w:spacing w:after="90" w:line="272"/>
      </w:pPr>
      <w:r>
        <w:rPr>
          <w:b/>
          <w:bCs/>
          <w:color w:val="222222"/>
          <w:sz w:val="21"/>
          <w:szCs w:val="21"/>
        </w:rPr>
        <w:t xml:space="preserve">Model-asset proxy.</w:t>
      </w:r>
      <w:r>
        <w:rPr>
          <w:color w:val="222222"/>
          <w:sz w:val="21"/>
          <w:szCs w:val="21"/>
        </w:rPr>
        <w:t xml:space="preserve"> The proxy keeps the private CDN location out of the code, but this is obscurity rather than access control. The concern is low because those assets are non-sensitive anatomical model geometry, not participant data.</w:t>
      </w:r>
    </w:p>
    <w:p>
      <w:pPr>
        <w:spacing w:after="120" w:line="276"/>
      </w:pPr>
      <w:r>
        <w:rPr>
          <w:i/>
          <w:iCs/>
          <w:color w:val="222222"/>
          <w:sz w:val="21"/>
          <w:szCs w:val="21"/>
        </w:rPr>
        <w:t xml:space="preserve">For PI/dev to confirm: repository visibility (public vs. private).</w:t>
      </w:r>
    </w:p>
    <w:p>
      <w:pPr>
        <w:pStyle w:val="Heading2"/>
        <w:spacing w:after="100" w:before="220"/>
      </w:pPr>
      <w:r>
        <w:rPr>
          <w:b/>
          <w:bCs/>
          <w:color w:val="2E6E8E"/>
          <w:sz w:val="25"/>
          <w:szCs w:val="25"/>
        </w:rPr>
        <w:t xml:space="preserve">Code transparency</w:t>
      </w:r>
    </w:p>
    <w:p>
      <w:pPr>
        <w:spacing w:after="120" w:line="276"/>
      </w:pPr>
      <w:r>
        <w:rPr>
          <w:color w:val="222222"/>
          <w:sz w:val="21"/>
          <w:szCs w:val="21"/>
        </w:rPr>
        <w:t xml:space="preserve">The application is client-side code that is </w:t>
      </w:r>
      <w:r>
        <w:rPr>
          <w:b/>
          <w:bCs/>
          <w:color w:val="222222"/>
          <w:sz w:val="21"/>
          <w:szCs w:val="21"/>
        </w:rPr>
        <w:t xml:space="preserve">inherently delivered to, and visible in, every participant’s browser</w:t>
      </w:r>
      <w:r>
        <w:rPr>
          <w:color w:val="222222"/>
          <w:sz w:val="21"/>
          <w:szCs w:val="21"/>
        </w:rPr>
        <w:t xml:space="preserve"> (via “view source”). Hosting the source in a code repository therefore exposes nothing that a visitor does not already receive. A review of the repository confirms that </w:t>
      </w:r>
      <w:r>
        <w:rPr>
          <w:b/>
          <w:bCs/>
          <w:color w:val="222222"/>
          <w:sz w:val="21"/>
          <w:szCs w:val="21"/>
        </w:rPr>
        <w:t xml:space="preserve">no secrets, API keys, credentials, or participant data are committed</w:t>
      </w:r>
      <w:r>
        <w:rPr>
          <w:color w:val="222222"/>
          <w:sz w:val="21"/>
          <w:szCs w:val="21"/>
        </w:rPr>
        <w:t xml:space="preserve"> — the private CDN location lives only in Cloudflare environment variables, and participant responses exist only as the participant’s local download. Code visibility carries </w:t>
      </w:r>
      <w:r>
        <w:rPr>
          <w:b/>
          <w:bCs/>
          <w:color w:val="222222"/>
          <w:sz w:val="21"/>
          <w:szCs w:val="21"/>
        </w:rPr>
        <w:t xml:space="preserve">no participant-privacy impact</w:t>
      </w:r>
      <w:r>
        <w:rPr>
          <w:color w:val="222222"/>
          <w:sz w:val="21"/>
          <w:szCs w:val="21"/>
        </w:rPr>
        <w:t xml:space="preserve">, and open, inspectable code supports independent auditability of these privacy claims.</w:t>
      </w:r>
    </w:p>
    <w:p>
      <w:pPr>
        <w:pStyle w:val="Heading1"/>
        <w:spacing w:after="140" w:before="320"/>
      </w:pPr>
      <w:r>
        <w:rPr>
          <w:b/>
          <w:bCs/>
          <w:color w:val="1F3A5F"/>
          <w:sz w:val="30"/>
          <w:szCs w:val="30"/>
        </w:rPr>
        <w:t xml:space="preserve">4. What data the application collects</w:t>
      </w:r>
    </w:p>
    <w:p>
      <w:pPr>
        <w:pStyle w:val="Heading2"/>
        <w:spacing w:after="100" w:before="220"/>
      </w:pPr>
      <w:r>
        <w:rPr>
          <w:b/>
          <w:bCs/>
          <w:color w:val="2E6E8E"/>
          <w:sz w:val="25"/>
          <w:szCs w:val="25"/>
        </w:rPr>
        <w:t xml:space="preserve">What IS captured (in the downloaded file)</w:t>
      </w:r>
    </w:p>
    <w:tbl>
      <w:tblPr>
        <w:tblW w:type="dxa" w:w="9360"/>
        <w:tblBorders>
          <w:top w:val="single" w:color="9BB4C4" w:sz="2"/>
          <w:left w:val="single" w:color="9BB4C4" w:sz="2"/>
          <w:bottom w:val="single" w:color="9BB4C4" w:sz="2"/>
          <w:right w:val="single" w:color="9BB4C4" w:sz="2"/>
          <w:insideH w:val="single" w:color="9BB4C4" w:sz="2"/>
          <w:insideV w:val="single" w:color="9BB4C4" w:sz="2"/>
        </w:tblBorders>
      </w:tblPr>
      <w:tblGrid>
        <w:gridCol w:w="3000"/>
        <w:gridCol w:w="6360"/>
      </w:tblGrid>
      <w:tr>
        <w:trPr>
          <w:tblHeader/>
        </w:trPr>
        <w:tc>
          <w:tcPr>
            <w:tcW w:type="dxa" w:w="3000"/>
            <w:shd w:fill="1F3A5F" w:color="auto" w:val="clear"/>
            <w:tcMar>
              <w:top w:type="dxa" w:w="80"/>
              <w:left w:type="dxa" w:w="110"/>
              <w:bottom w:type="dxa" w:w="80"/>
              <w:right w:type="dxa" w:w="110"/>
            </w:tcMar>
          </w:tcPr>
          <w:p>
            <w:pPr>
              <w:spacing w:after="0"/>
            </w:pPr>
            <w:r>
              <w:rPr>
                <w:b/>
                <w:bCs/>
                <w:color w:val="FFFFFF"/>
                <w:sz w:val="19"/>
                <w:szCs w:val="19"/>
              </w:rPr>
              <w:t xml:space="preserve">Data</w:t>
            </w:r>
          </w:p>
        </w:tc>
        <w:tc>
          <w:tcPr>
            <w:tcW w:type="dxa" w:w="6360"/>
            <w:shd w:fill="1F3A5F" w:color="auto" w:val="clear"/>
            <w:tcMar>
              <w:top w:type="dxa" w:w="80"/>
              <w:left w:type="dxa" w:w="110"/>
              <w:bottom w:type="dxa" w:w="80"/>
              <w:right w:type="dxa" w:w="110"/>
            </w:tcMar>
          </w:tcPr>
          <w:p>
            <w:pPr>
              <w:spacing w:after="0"/>
            </w:pPr>
            <w:r>
              <w:rPr>
                <w:b/>
                <w:bCs/>
                <w:color w:val="FFFFFF"/>
                <w:sz w:val="19"/>
                <w:szCs w:val="19"/>
              </w:rPr>
              <w:t xml:space="preserve">Notes</w:t>
            </w:r>
          </w:p>
        </w:tc>
      </w:tr>
      <w:tr>
        <w:tc>
          <w:tcPr>
            <w:tcW w:type="dxa" w:w="3000"/>
            <w:shd w:fill="EEF3F7" w:color="auto" w:val="clear"/>
            <w:tcMar>
              <w:top w:type="dxa" w:w="70"/>
              <w:left w:type="dxa" w:w="110"/>
              <w:bottom w:type="dxa" w:w="70"/>
              <w:right w:type="dxa" w:w="110"/>
            </w:tcMar>
          </w:tcPr>
          <w:p>
            <w:pPr>
              <w:spacing w:after="0" w:line="264"/>
            </w:pPr>
            <w:r>
              <w:rPr>
                <w:b/>
                <w:bCs/>
                <w:color w:val="222222"/>
                <w:sz w:val="19"/>
                <w:szCs w:val="19"/>
              </w:rPr>
              <w:t xml:space="preserve">Session identifier</w:t>
            </w:r>
          </w:p>
        </w:tc>
        <w:tc>
          <w:tcPr>
            <w:tcW w:type="dxa" w:w="6360"/>
            <w:shd w:fill="EEF3F7" w:color="auto" w:val="clear"/>
            <w:tcMar>
              <w:top w:type="dxa" w:w="70"/>
              <w:left w:type="dxa" w:w="110"/>
              <w:bottom w:type="dxa" w:w="70"/>
              <w:right w:type="dxa" w:w="110"/>
            </w:tcMar>
          </w:tcPr>
          <w:p>
            <w:pPr>
              <w:spacing w:after="0" w:line="264"/>
            </w:pPr>
            <w:r>
              <w:rPr>
                <w:color w:val="222222"/>
                <w:sz w:val="19"/>
                <w:szCs w:val="19"/>
              </w:rPr>
              <w:t xml:space="preserve">A random, </w:t>
            </w:r>
            <w:r>
              <w:rPr>
                <w:b/>
                <w:bCs/>
                <w:color w:val="222222"/>
                <w:sz w:val="19"/>
                <w:szCs w:val="19"/>
              </w:rPr>
              <w:t xml:space="preserve">non-identifying</w:t>
            </w:r>
            <w:r>
              <w:rPr>
                <w:color w:val="222222"/>
                <w:sz w:val="19"/>
                <w:szCs w:val="19"/>
              </w:rPr>
              <w:t xml:space="preserve"> value generated per session — not derived from anything about the participant; used only to name the file and link its parts</w:t>
            </w:r>
          </w:p>
        </w:tc>
      </w:tr>
      <w:tr>
        <w:tc>
          <w:tcPr>
            <w:tcW w:type="dxa" w:w="3000"/>
            <w:shd w:fill="FFFFFF" w:color="auto" w:val="clear"/>
            <w:tcMar>
              <w:top w:type="dxa" w:w="70"/>
              <w:left w:type="dxa" w:w="110"/>
              <w:bottom w:type="dxa" w:w="70"/>
              <w:right w:type="dxa" w:w="110"/>
            </w:tcMar>
          </w:tcPr>
          <w:p>
            <w:pPr>
              <w:spacing w:after="0" w:line="264"/>
            </w:pPr>
            <w:r>
              <w:rPr>
                <w:b/>
                <w:bCs/>
                <w:color w:val="222222"/>
                <w:sz w:val="19"/>
                <w:szCs w:val="19"/>
              </w:rPr>
              <w:t xml:space="preserve">Timestamps &amp; duration</w:t>
            </w:r>
          </w:p>
        </w:tc>
        <w:tc>
          <w:tcPr>
            <w:tcW w:type="dxa" w:w="6360"/>
            <w:shd w:fill="FFFFFF" w:color="auto" w:val="clear"/>
            <w:tcMar>
              <w:top w:type="dxa" w:w="70"/>
              <w:left w:type="dxa" w:w="110"/>
              <w:bottom w:type="dxa" w:w="70"/>
              <w:right w:type="dxa" w:w="110"/>
            </w:tcMar>
          </w:tcPr>
          <w:p>
            <w:pPr>
              <w:spacing w:after="0" w:line="264"/>
            </w:pPr>
            <w:r>
              <w:rPr>
                <w:color w:val="222222"/>
                <w:sz w:val="19"/>
                <w:szCs w:val="19"/>
              </w:rPr>
              <w:t xml:space="preserve">Session start/end and wall-clock length</w:t>
            </w:r>
          </w:p>
        </w:tc>
      </w:tr>
      <w:tr>
        <w:tc>
          <w:tcPr>
            <w:tcW w:type="dxa" w:w="3000"/>
            <w:shd w:fill="EEF3F7" w:color="auto" w:val="clear"/>
            <w:tcMar>
              <w:top w:type="dxa" w:w="70"/>
              <w:left w:type="dxa" w:w="110"/>
              <w:bottom w:type="dxa" w:w="70"/>
              <w:right w:type="dxa" w:w="110"/>
            </w:tcMar>
          </w:tcPr>
          <w:p>
            <w:pPr>
              <w:spacing w:after="0" w:line="264"/>
            </w:pPr>
            <w:r>
              <w:rPr>
                <w:b/>
                <w:bCs/>
                <w:color w:val="222222"/>
                <w:sz w:val="19"/>
                <w:szCs w:val="19"/>
              </w:rPr>
              <w:t xml:space="preserve">Model type</w:t>
            </w:r>
          </w:p>
        </w:tc>
        <w:tc>
          <w:tcPr>
            <w:tcW w:type="dxa" w:w="6360"/>
            <w:shd w:fill="EEF3F7" w:color="auto" w:val="clear"/>
            <w:tcMar>
              <w:top w:type="dxa" w:w="70"/>
              <w:left w:type="dxa" w:w="110"/>
              <w:bottom w:type="dxa" w:w="70"/>
              <w:right w:type="dxa" w:w="110"/>
            </w:tcMar>
          </w:tcPr>
          <w:p>
            <w:pPr>
              <w:spacing w:after="0" w:line="264"/>
            </w:pPr>
            <w:r>
              <w:rPr>
                <w:color w:val="222222"/>
                <w:sz w:val="19"/>
                <w:szCs w:val="19"/>
              </w:rPr>
              <w:t xml:space="preserve">Which body model was used</w:t>
            </w:r>
          </w:p>
        </w:tc>
      </w:tr>
      <w:tr>
        <w:tc>
          <w:tcPr>
            <w:tcW w:type="dxa" w:w="3000"/>
            <w:shd w:fill="FFFFFF" w:color="auto" w:val="clear"/>
            <w:tcMar>
              <w:top w:type="dxa" w:w="70"/>
              <w:left w:type="dxa" w:w="110"/>
              <w:bottom w:type="dxa" w:w="70"/>
              <w:right w:type="dxa" w:w="110"/>
            </w:tcMar>
          </w:tcPr>
          <w:p>
            <w:pPr>
              <w:spacing w:after="0" w:line="264"/>
            </w:pPr>
            <w:r>
              <w:rPr>
                <w:b/>
                <w:bCs/>
                <w:color w:val="222222"/>
                <w:sz w:val="19"/>
                <w:szCs w:val="19"/>
              </w:rPr>
              <w:t xml:space="preserve">Drawn regions &amp; coverage metrics</w:t>
            </w:r>
          </w:p>
        </w:tc>
        <w:tc>
          <w:tcPr>
            <w:tcW w:type="dxa" w:w="6360"/>
            <w:shd w:fill="FFFFFF" w:color="auto" w:val="clear"/>
            <w:tcMar>
              <w:top w:type="dxa" w:w="70"/>
              <w:left w:type="dxa" w:w="110"/>
              <w:bottom w:type="dxa" w:w="70"/>
              <w:right w:type="dxa" w:w="110"/>
            </w:tcMar>
          </w:tcPr>
          <w:p>
            <w:pPr>
              <w:spacing w:after="0" w:line="264"/>
            </w:pPr>
            <w:r>
              <w:rPr>
                <w:color w:val="222222"/>
                <w:sz w:val="19"/>
                <w:szCs w:val="19"/>
              </w:rPr>
              <w:t xml:space="preserve">Which anatomical regions were painted, and surface-area coverage percentages</w:t>
            </w:r>
          </w:p>
        </w:tc>
      </w:tr>
      <w:tr>
        <w:tc>
          <w:tcPr>
            <w:tcW w:type="dxa" w:w="3000"/>
            <w:shd w:fill="EEF3F7" w:color="auto" w:val="clear"/>
            <w:tcMar>
              <w:top w:type="dxa" w:w="70"/>
              <w:left w:type="dxa" w:w="110"/>
              <w:bottom w:type="dxa" w:w="70"/>
              <w:right w:type="dxa" w:w="110"/>
            </w:tcMar>
          </w:tcPr>
          <w:p>
            <w:pPr>
              <w:spacing w:after="0" w:line="264"/>
            </w:pPr>
            <w:r>
              <w:rPr>
                <w:b/>
                <w:bCs/>
                <w:color w:val="222222"/>
                <w:sz w:val="19"/>
                <w:szCs w:val="19"/>
              </w:rPr>
              <w:t xml:space="preserve">Questionnaire responses</w:t>
            </w:r>
          </w:p>
        </w:tc>
        <w:tc>
          <w:tcPr>
            <w:tcW w:type="dxa" w:w="6360"/>
            <w:shd w:fill="EEF3F7" w:color="auto" w:val="clear"/>
            <w:tcMar>
              <w:top w:type="dxa" w:w="70"/>
              <w:left w:type="dxa" w:w="110"/>
              <w:bottom w:type="dxa" w:w="70"/>
              <w:right w:type="dxa" w:w="110"/>
            </w:tcMar>
          </w:tcPr>
          <w:p>
            <w:pPr>
              <w:spacing w:after="0" w:line="264"/>
            </w:pPr>
            <w:r>
              <w:rPr>
                <w:color w:val="222222"/>
                <w:sz w:val="19"/>
                <w:szCs w:val="19"/>
              </w:rPr>
              <w:t xml:space="preserve">Area-specific and general questionnaire answers (see below)</w:t>
            </w:r>
          </w:p>
        </w:tc>
      </w:tr>
      <w:tr>
        <w:tc>
          <w:tcPr>
            <w:tcW w:type="dxa" w:w="3000"/>
            <w:shd w:fill="FFFFFF" w:color="auto" w:val="clear"/>
            <w:tcMar>
              <w:top w:type="dxa" w:w="70"/>
              <w:left w:type="dxa" w:w="110"/>
              <w:bottom w:type="dxa" w:w="70"/>
              <w:right w:type="dxa" w:w="110"/>
            </w:tcMar>
          </w:tcPr>
          <w:p>
            <w:pPr>
              <w:spacing w:after="0" w:line="264"/>
            </w:pPr>
            <w:r>
              <w:rPr>
                <w:b/>
                <w:bCs/>
                <w:color w:val="222222"/>
                <w:sz w:val="19"/>
                <w:szCs w:val="19"/>
              </w:rPr>
              <w:t xml:space="preserve">Body-view snapshots</w:t>
            </w:r>
          </w:p>
        </w:tc>
        <w:tc>
          <w:tcPr>
            <w:tcW w:type="dxa" w:w="6360"/>
            <w:shd w:fill="FFFFFF" w:color="auto" w:val="clear"/>
            <w:tcMar>
              <w:top w:type="dxa" w:w="70"/>
              <w:left w:type="dxa" w:w="110"/>
              <w:bottom w:type="dxa" w:w="70"/>
              <w:right w:type="dxa" w:w="110"/>
            </w:tcMar>
          </w:tcPr>
          <w:p>
            <w:pPr>
              <w:spacing w:after="0" w:line="264"/>
            </w:pPr>
            <w:r>
              <w:rPr>
                <w:color w:val="222222"/>
                <w:sz w:val="19"/>
                <w:szCs w:val="19"/>
              </w:rPr>
              <w:t xml:space="preserve">Four-angle images </w:t>
            </w:r>
            <w:r>
              <w:rPr>
                <w:b/>
                <w:bCs/>
                <w:color w:val="222222"/>
                <w:sz w:val="19"/>
                <w:szCs w:val="19"/>
              </w:rPr>
              <w:t xml:space="preserve">of the 3D model</w:t>
            </w:r>
            <w:r>
              <w:rPr>
                <w:color w:val="222222"/>
                <w:sz w:val="19"/>
                <w:szCs w:val="19"/>
              </w:rPr>
              <w:t xml:space="preserve"> showing where the participant drew</w:t>
            </w:r>
          </w:p>
        </w:tc>
      </w:tr>
      <w:tr>
        <w:tc>
          <w:tcPr>
            <w:tcW w:type="dxa" w:w="3000"/>
            <w:shd w:fill="EEF3F7" w:color="auto" w:val="clear"/>
            <w:tcMar>
              <w:top w:type="dxa" w:w="70"/>
              <w:left w:type="dxa" w:w="110"/>
              <w:bottom w:type="dxa" w:w="70"/>
              <w:right w:type="dxa" w:w="110"/>
            </w:tcMar>
          </w:tcPr>
          <w:p>
            <w:pPr>
              <w:spacing w:after="0" w:line="264"/>
            </w:pPr>
            <w:r>
              <w:rPr>
                <w:b/>
                <w:bCs/>
                <w:color w:val="222222"/>
                <w:sz w:val="19"/>
                <w:szCs w:val="19"/>
              </w:rPr>
              <w:t xml:space="preserve">Coarse device info</w:t>
            </w:r>
          </w:p>
        </w:tc>
        <w:tc>
          <w:tcPr>
            <w:tcW w:type="dxa" w:w="6360"/>
            <w:shd w:fill="EEF3F7" w:color="auto" w:val="clear"/>
            <w:tcMar>
              <w:top w:type="dxa" w:w="70"/>
              <w:left w:type="dxa" w:w="110"/>
              <w:bottom w:type="dxa" w:w="70"/>
              <w:right w:type="dxa" w:w="110"/>
            </w:tcMar>
          </w:tcPr>
          <w:p>
            <w:pPr>
              <w:spacing w:after="0" w:line="264"/>
            </w:pPr>
            <w:r>
              <w:rPr>
                <w:color w:val="222222"/>
                <w:sz w:val="19"/>
                <w:szCs w:val="19"/>
              </w:rPr>
              <w:t xml:space="preserve">Device type / operating system / browser category only (e.g. Desktop / Windows / Chrome)</w:t>
            </w:r>
          </w:p>
        </w:tc>
      </w:tr>
    </w:tbl>
    <w:p>
      <w:pPr>
        <w:spacing w:after="80"/>
      </w:pPr>
    </w:p>
    <w:p>
      <w:pPr>
        <w:pStyle w:val="Heading2"/>
        <w:spacing w:after="100" w:before="220"/>
      </w:pPr>
      <w:r>
        <w:rPr>
          <w:b/>
          <w:bCs/>
          <w:color w:val="2E6E8E"/>
          <w:sz w:val="25"/>
          <w:szCs w:val="25"/>
        </w:rPr>
        <w:t xml:space="preserve">What is NOT collected</w:t>
      </w:r>
    </w:p>
    <w:p>
      <w:pPr>
        <w:pStyle w:val="ListParagraph"/>
        <w:numPr>
          <w:ilvl w:val="0"/>
          <w:numId w:val="3"/>
        </w:numPr>
        <w:spacing w:after="90" w:line="272"/>
      </w:pPr>
      <w:r>
        <w:rPr>
          <w:b/>
          <w:bCs/>
          <w:color w:val="222222"/>
          <w:sz w:val="21"/>
          <w:szCs w:val="21"/>
        </w:rPr>
        <w:t xml:space="preserve">No direct identifiers</w:t>
      </w:r>
      <w:r>
        <w:rPr>
          <w:color w:val="222222"/>
          <w:sz w:val="21"/>
          <w:szCs w:val="21"/>
        </w:rPr>
        <w:t xml:space="preserve"> — no name, email, date of birth, health-card number, or medical-record number anywhere in the application.</w:t>
      </w:r>
    </w:p>
    <w:p>
      <w:pPr>
        <w:pStyle w:val="ListParagraph"/>
        <w:numPr>
          <w:ilvl w:val="0"/>
          <w:numId w:val="3"/>
        </w:numPr>
        <w:spacing w:after="90" w:line="272"/>
      </w:pPr>
      <w:r>
        <w:rPr>
          <w:b/>
          <w:bCs/>
          <w:color w:val="222222"/>
          <w:sz w:val="21"/>
          <w:szCs w:val="21"/>
        </w:rPr>
        <w:t xml:space="preserve">No photographs or images of the participant</w:t>
      </w:r>
      <w:r>
        <w:rPr>
          <w:color w:val="222222"/>
          <w:sz w:val="21"/>
          <w:szCs w:val="21"/>
        </w:rPr>
        <w:t xml:space="preserve"> — snapshots are of the </w:t>
      </w:r>
      <w:r>
        <w:rPr>
          <w:b/>
          <w:bCs/>
          <w:color w:val="222222"/>
          <w:sz w:val="21"/>
          <w:szCs w:val="21"/>
        </w:rPr>
        <w:t xml:space="preserve">3D model only</w:t>
      </w:r>
      <w:r>
        <w:rPr>
          <w:color w:val="222222"/>
          <w:sz w:val="21"/>
          <w:szCs w:val="21"/>
        </w:rPr>
        <w:t xml:space="preserve">.</w:t>
      </w:r>
    </w:p>
    <w:p>
      <w:pPr>
        <w:pStyle w:val="ListParagraph"/>
        <w:numPr>
          <w:ilvl w:val="0"/>
          <w:numId w:val="3"/>
        </w:numPr>
        <w:spacing w:after="90" w:line="272"/>
      </w:pPr>
      <w:r>
        <w:rPr>
          <w:b/>
          <w:bCs/>
          <w:color w:val="222222"/>
          <w:sz w:val="21"/>
          <w:szCs w:val="21"/>
        </w:rPr>
        <w:t xml:space="preserve">No analytics or tracking</w:t>
      </w:r>
      <w:r>
        <w:rPr>
          <w:color w:val="222222"/>
          <w:sz w:val="21"/>
          <w:szCs w:val="21"/>
        </w:rPr>
        <w:t xml:space="preserve"> — no Google Analytics or similar.</w:t>
      </w:r>
    </w:p>
    <w:p>
      <w:pPr>
        <w:pStyle w:val="ListParagraph"/>
        <w:numPr>
          <w:ilvl w:val="0"/>
          <w:numId w:val="3"/>
        </w:numPr>
        <w:spacing w:after="90" w:line="272"/>
      </w:pPr>
      <w:r>
        <w:rPr>
          <w:b/>
          <w:bCs/>
          <w:color w:val="222222"/>
          <w:sz w:val="21"/>
          <w:szCs w:val="21"/>
        </w:rPr>
        <w:t xml:space="preserve">No geolocation</w:t>
      </w:r>
      <w:r>
        <w:rPr>
          <w:color w:val="222222"/>
          <w:sz w:val="21"/>
          <w:szCs w:val="21"/>
        </w:rPr>
        <w:t xml:space="preserve"> or other sensitive device sensors.</w:t>
      </w:r>
    </w:p>
    <w:p>
      <w:pPr>
        <w:pStyle w:val="ListParagraph"/>
        <w:numPr>
          <w:ilvl w:val="0"/>
          <w:numId w:val="3"/>
        </w:numPr>
        <w:spacing w:after="90" w:line="272"/>
      </w:pPr>
      <w:r>
        <w:rPr>
          <w:b/>
          <w:bCs/>
          <w:color w:val="222222"/>
          <w:sz w:val="21"/>
          <w:szCs w:val="21"/>
        </w:rPr>
        <w:t xml:space="preserve">No raw browser user-agent string</w:t>
      </w:r>
      <w:r>
        <w:rPr>
          <w:color w:val="222222"/>
          <w:sz w:val="21"/>
          <w:szCs w:val="21"/>
        </w:rPr>
        <w:t xml:space="preserve"> — deliberately dropped in favour of the coarse device categories above (data minimization).</w:t>
      </w:r>
    </w:p>
    <w:p>
      <w:pPr>
        <w:pStyle w:val="Heading2"/>
        <w:spacing w:after="100" w:before="220"/>
      </w:pPr>
      <w:r>
        <w:rPr>
          <w:b/>
          <w:bCs/>
          <w:color w:val="2E6E8E"/>
          <w:sz w:val="25"/>
          <w:szCs w:val="25"/>
        </w:rPr>
        <w:t xml:space="preserve">Nature of the data</w:t>
      </w:r>
    </w:p>
    <w:p>
      <w:pPr>
        <w:spacing w:after="120" w:line="276"/>
      </w:pPr>
      <w:r>
        <w:rPr>
          <w:color w:val="222222"/>
          <w:sz w:val="21"/>
          <w:szCs w:val="21"/>
        </w:rPr>
        <w:t xml:space="preserve">The questionnaire content is </w:t>
      </w:r>
      <w:r>
        <w:rPr>
          <w:b/>
          <w:bCs/>
          <w:color w:val="222222"/>
          <w:sz w:val="21"/>
          <w:szCs w:val="21"/>
        </w:rPr>
        <w:t xml:space="preserve">personal health information</w:t>
      </w:r>
      <w:r>
        <w:rPr>
          <w:color w:val="222222"/>
          <w:sz w:val="21"/>
          <w:szCs w:val="21"/>
        </w:rPr>
        <w:t xml:space="preserve"> — pain location, severity, frequency, duration, an intensity rating (0–10), functional interference, and </w:t>
      </w:r>
      <w:r>
        <w:rPr>
          <w:b/>
          <w:bCs/>
          <w:color w:val="222222"/>
          <w:sz w:val="21"/>
          <w:szCs w:val="21"/>
        </w:rPr>
        <w:t xml:space="preserve">medication use</w:t>
      </w:r>
      <w:r>
        <w:rPr>
          <w:color w:val="222222"/>
          <w:sz w:val="21"/>
          <w:szCs w:val="21"/>
        </w:rPr>
        <w:t xml:space="preserve"> (including categories such as narcotic pain medication and cannabis), plus a question about whether onset coincided with a stressful time. Although the dataset is </w:t>
      </w:r>
      <w:r>
        <w:rPr>
          <w:b/>
          <w:bCs/>
          <w:color w:val="222222"/>
          <w:sz w:val="21"/>
          <w:szCs w:val="21"/>
        </w:rPr>
        <w:t xml:space="preserve">de-identified by design</w:t>
      </w:r>
      <w:r>
        <w:rPr>
          <w:color w:val="222222"/>
          <w:sz w:val="21"/>
          <w:szCs w:val="21"/>
        </w:rPr>
        <w:t xml:space="preserve"> (no direct identifiers, random session id), it is sensitive, and the tool is built accordingly.</w:t>
      </w:r>
    </w:p>
    <w:p>
      <w:pPr>
        <w:spacing w:after="120" w:line="276"/>
      </w:pPr>
      <w:r>
        <w:rPr>
          <w:color w:val="222222"/>
          <w:sz w:val="21"/>
          <w:szCs w:val="21"/>
        </w:rPr>
        <w:t xml:space="preserve">The questionnaires also include a small number of </w:t>
      </w:r>
      <w:r>
        <w:rPr>
          <w:b/>
          <w:bCs/>
          <w:color w:val="222222"/>
          <w:sz w:val="21"/>
          <w:szCs w:val="21"/>
        </w:rPr>
        <w:t xml:space="preserve">free-text fields</w:t>
      </w:r>
      <w:r>
        <w:rPr>
          <w:color w:val="222222"/>
          <w:sz w:val="21"/>
          <w:szCs w:val="21"/>
        </w:rPr>
        <w:t xml:space="preserve"> (e.g. “What does your pain or symptom feel like?”, optional comments). Free text is the usual way a de-identified dataset can inadvertently pick up identifying information. </w:t>
      </w:r>
      <w:r>
        <w:rPr>
          <w:i/>
          <w:iCs/>
          <w:color w:val="222222"/>
          <w:sz w:val="21"/>
          <w:szCs w:val="21"/>
        </w:rPr>
        <w:t xml:space="preserve">For PI review: the handling of free-text answers (e.g. review/scrub for identifiers before analysis) is a study-level process for the PI to describe in the analysis plan.</w:t>
      </w:r>
    </w:p>
    <w:p>
      <w:pPr>
        <w:pStyle w:val="Heading1"/>
        <w:spacing w:after="140" w:before="320"/>
      </w:pPr>
      <w:r>
        <w:rPr>
          <w:b/>
          <w:bCs/>
          <w:color w:val="1F3A5F"/>
          <w:sz w:val="30"/>
          <w:szCs w:val="30"/>
        </w:rPr>
        <w:t xml:space="preserve">5. Ethical measures built into the application</w:t>
      </w:r>
    </w:p>
    <w:p>
      <w:pPr>
        <w:spacing w:after="120" w:line="276"/>
      </w:pPr>
      <w:r>
        <w:rPr>
          <w:color w:val="222222"/>
          <w:sz w:val="21"/>
          <w:szCs w:val="21"/>
        </w:rPr>
        <w:t xml:space="preserve">Each measure below is already implemented in the tool.</w:t>
      </w:r>
    </w:p>
    <w:p>
      <w:pPr>
        <w:pStyle w:val="ListParagraph"/>
        <w:numPr>
          <w:ilvl w:val="0"/>
          <w:numId w:val="3"/>
        </w:numPr>
        <w:spacing w:after="90" w:line="272"/>
      </w:pPr>
      <w:r>
        <w:rPr>
          <w:b/>
          <w:bCs/>
          <w:color w:val="222222"/>
          <w:sz w:val="21"/>
          <w:szCs w:val="21"/>
        </w:rPr>
        <w:t xml:space="preserve">Data minimization.</w:t>
      </w:r>
      <w:r>
        <w:rPr>
          <w:color w:val="222222"/>
          <w:sz w:val="21"/>
          <w:szCs w:val="21"/>
        </w:rPr>
        <w:t xml:space="preserve"> No direct identifiers are collected. The session identifier is random and non-identifying. The raw browser user-agent is intentionally not stored; only coarse device categories are kept.</w:t>
      </w:r>
    </w:p>
    <w:p>
      <w:pPr>
        <w:pStyle w:val="ListParagraph"/>
        <w:numPr>
          <w:ilvl w:val="0"/>
          <w:numId w:val="3"/>
        </w:numPr>
        <w:spacing w:after="90" w:line="272"/>
      </w:pPr>
      <w:r>
        <w:rPr>
          <w:b/>
          <w:bCs/>
          <w:color w:val="222222"/>
          <w:sz w:val="21"/>
          <w:szCs w:val="21"/>
        </w:rPr>
        <w:t xml:space="preserve">No participant imagery.</w:t>
      </w:r>
      <w:r>
        <w:rPr>
          <w:color w:val="222222"/>
          <w:sz w:val="21"/>
          <w:szCs w:val="21"/>
        </w:rPr>
        <w:t xml:space="preserve"> The tool never photographs the participant. All captured images are of the 3D anatomical model showing where the participant drew.</w:t>
      </w:r>
    </w:p>
    <w:p>
      <w:pPr>
        <w:pStyle w:val="ListParagraph"/>
        <w:numPr>
          <w:ilvl w:val="0"/>
          <w:numId w:val="3"/>
        </w:numPr>
        <w:spacing w:after="90" w:line="272"/>
      </w:pPr>
      <w:r>
        <w:rPr>
          <w:b/>
          <w:bCs/>
          <w:color w:val="222222"/>
          <w:sz w:val="21"/>
          <w:szCs w:val="21"/>
        </w:rPr>
        <w:t xml:space="preserve">Privacy by architecture.</w:t>
      </w:r>
      <w:r>
        <w:rPr>
          <w:color w:val="222222"/>
          <w:sz w:val="21"/>
          <w:szCs w:val="21"/>
        </w:rPr>
        <w:t xml:space="preserve"> The application is fully client-side with </w:t>
      </w:r>
      <w:r>
        <w:rPr>
          <w:b/>
          <w:bCs/>
          <w:color w:val="222222"/>
          <w:sz w:val="21"/>
          <w:szCs w:val="21"/>
        </w:rPr>
        <w:t xml:space="preserve">no backend and no transmission of participant data</w:t>
      </w:r>
      <w:r>
        <w:rPr>
          <w:color w:val="222222"/>
          <w:sz w:val="21"/>
          <w:szCs w:val="21"/>
        </w:rPr>
        <w:t xml:space="preserve"> (a former server/database backend was removed in favour of this design). Responses are downloaded and stored on a </w:t>
      </w:r>
      <w:r>
        <w:rPr>
          <w:b/>
          <w:bCs/>
          <w:color w:val="222222"/>
          <w:sz w:val="21"/>
          <w:szCs w:val="21"/>
        </w:rPr>
        <w:t xml:space="preserve">provided encrypted device</w:t>
      </w:r>
      <w:r>
        <w:rPr>
          <w:color w:val="222222"/>
          <w:sz w:val="21"/>
          <w:szCs w:val="21"/>
        </w:rPr>
        <w:t xml:space="preserve">, and a safeguard warns the participant if they try to leave before confirming they have saved their file. </w:t>
      </w:r>
      <w:r>
        <w:rPr>
          <w:i/>
          <w:iCs/>
          <w:color w:val="222222"/>
          <w:sz w:val="21"/>
          <w:szCs w:val="21"/>
        </w:rPr>
        <w:t xml:space="preserve">(Minor note: there is no autosave or partial retention — an incomplete session leaves no data anywhere, which reinforces minimization but implies the assessment is completed in one sitting.)</w:t>
      </w:r>
    </w:p>
    <w:p>
      <w:pPr>
        <w:pStyle w:val="ListParagraph"/>
        <w:numPr>
          <w:ilvl w:val="0"/>
          <w:numId w:val="3"/>
        </w:numPr>
        <w:spacing w:after="90" w:line="272"/>
      </w:pPr>
      <w:r>
        <w:rPr>
          <w:b/>
          <w:bCs/>
          <w:color w:val="222222"/>
          <w:sz w:val="21"/>
          <w:szCs w:val="21"/>
        </w:rPr>
        <w:t xml:space="preserve">Participant retains control of their data.</w:t>
      </w:r>
      <w:r>
        <w:rPr>
          <w:color w:val="222222"/>
          <w:sz w:val="21"/>
          <w:szCs w:val="21"/>
        </w:rPr>
        <w:t xml:space="preserve"> Because there is no server copy, the participant physically holds the </w:t>
      </w:r>
      <w:r>
        <w:rPr>
          <w:b/>
          <w:bCs/>
          <w:color w:val="222222"/>
          <w:sz w:val="21"/>
          <w:szCs w:val="21"/>
        </w:rPr>
        <w:t xml:space="preserve">only</w:t>
      </w:r>
      <w:r>
        <w:rPr>
          <w:color w:val="222222"/>
          <w:sz w:val="21"/>
          <w:szCs w:val="21"/>
        </w:rPr>
        <w:t xml:space="preserve"> copy of their responses (the single downloaded file). This supports data control and makes withdrawal straightforward. </w:t>
      </w:r>
      <w:r>
        <w:rPr>
          <w:i/>
          <w:iCs/>
          <w:color w:val="222222"/>
          <w:sz w:val="21"/>
          <w:szCs w:val="21"/>
        </w:rPr>
        <w:t xml:space="preserve">For PI review: the withdrawal procedure itself is a study-level process for the PI to define.</w:t>
      </w:r>
    </w:p>
    <w:p>
      <w:pPr>
        <w:pStyle w:val="ListParagraph"/>
        <w:numPr>
          <w:ilvl w:val="0"/>
          <w:numId w:val="3"/>
        </w:numPr>
        <w:spacing w:after="90" w:line="272"/>
      </w:pPr>
      <w:r>
        <w:rPr>
          <w:b/>
          <w:bCs/>
          <w:color w:val="222222"/>
          <w:sz w:val="21"/>
          <w:szCs w:val="21"/>
        </w:rPr>
        <w:t xml:space="preserve">No third-party contact or tracking.</w:t>
      </w:r>
      <w:r>
        <w:rPr>
          <w:color w:val="222222"/>
          <w:sz w:val="21"/>
          <w:szCs w:val="21"/>
        </w:rPr>
        <w:t xml:space="preserve"> All libraries, fonts, and styles are self-hosted from the application’s own origin; the tutorial video is served from the same origin (no external video embed). There is no analytics/tracking and no geolocation. In normal use the participant’s browser contacts only the application’s own domain.</w:t>
      </w:r>
    </w:p>
    <w:p>
      <w:pPr>
        <w:pStyle w:val="ListParagraph"/>
        <w:numPr>
          <w:ilvl w:val="0"/>
          <w:numId w:val="3"/>
        </w:numPr>
        <w:spacing w:after="90" w:line="272"/>
      </w:pPr>
      <w:r>
        <w:rPr>
          <w:b/>
          <w:bCs/>
          <w:color w:val="222222"/>
          <w:sz w:val="21"/>
          <w:szCs w:val="21"/>
        </w:rPr>
        <w:t xml:space="preserve">Accessibility and equitable access.</w:t>
      </w:r>
      <w:r>
        <w:rPr>
          <w:color w:val="222222"/>
          <w:sz w:val="21"/>
          <w:szCs w:val="21"/>
        </w:rPr>
        <w:t xml:space="preserve"> The interface respects the operating-system “reduced motion” preference, uses ARIA labels/roles and keyboard support on its controls, and offers a </w:t>
      </w:r>
      <w:r>
        <w:rPr>
          <w:b/>
          <w:bCs/>
          <w:color w:val="222222"/>
          <w:sz w:val="21"/>
          <w:szCs w:val="21"/>
        </w:rPr>
        <w:t xml:space="preserve">name-based, non-drawing path</w:t>
      </w:r>
      <w:r>
        <w:rPr>
          <w:color w:val="222222"/>
          <w:sz w:val="21"/>
          <w:szCs w:val="21"/>
        </w:rPr>
        <w:t xml:space="preserve"> to indicate body regions for participants who cannot perform fine pointer drawing.</w:t>
      </w:r>
    </w:p>
    <w:p>
      <w:pPr>
        <w:pStyle w:val="ListParagraph"/>
        <w:numPr>
          <w:ilvl w:val="0"/>
          <w:numId w:val="3"/>
        </w:numPr>
        <w:spacing w:after="90" w:line="272"/>
      </w:pPr>
      <w:r>
        <w:rPr>
          <w:b/>
          <w:bCs/>
          <w:color w:val="222222"/>
          <w:sz w:val="21"/>
          <w:szCs w:val="21"/>
        </w:rPr>
        <w:t xml:space="preserve">Consent boundary (application assumption).</w:t>
      </w:r>
      <w:r>
        <w:rPr>
          <w:color w:val="222222"/>
          <w:sz w:val="21"/>
          <w:szCs w:val="21"/>
        </w:rPr>
        <w:t xml:space="preserve"> The application does not include an in-app consent step; it assumes </w:t>
      </w:r>
      <w:r>
        <w:rPr>
          <w:b/>
          <w:bCs/>
          <w:color w:val="222222"/>
          <w:sz w:val="21"/>
          <w:szCs w:val="21"/>
        </w:rPr>
        <w:t xml:space="preserve">informed consent is obtained outside the tool during study enrolment</w:t>
      </w:r>
      <w:r>
        <w:rPr>
          <w:color w:val="222222"/>
          <w:sz w:val="21"/>
          <w:szCs w:val="21"/>
        </w:rPr>
        <w:t xml:space="preserve">, before the participant uses it. </w:t>
      </w:r>
      <w:r>
        <w:rPr>
          <w:i/>
          <w:iCs/>
          <w:color w:val="222222"/>
          <w:sz w:val="21"/>
          <w:szCs w:val="21"/>
        </w:rPr>
        <w:t xml:space="preserve">For PI review: the consent process and its wording are the PI’s to design and describe in the REB application.</w:t>
      </w:r>
    </w:p>
    <w:p>
      <w:pPr>
        <w:pStyle w:val="Heading1"/>
        <w:spacing w:after="140" w:before="320"/>
      </w:pPr>
      <w:r>
        <w:rPr>
          <w:b/>
          <w:bCs/>
          <w:color w:val="1F3A5F"/>
          <w:sz w:val="30"/>
          <w:szCs w:val="30"/>
        </w:rPr>
        <w:t xml:space="preserve">6. Anticipated data-collection SOP</w:t>
      </w:r>
    </w:p>
    <w:p>
      <w:pPr>
        <w:spacing w:after="120" w:line="276"/>
      </w:pPr>
      <w:r>
        <w:rPr>
          <w:color w:val="222222"/>
          <w:sz w:val="21"/>
          <w:szCs w:val="21"/>
        </w:rPr>
        <w:t xml:space="preserve">The following is a </w:t>
      </w:r>
      <w:r>
        <w:rPr>
          <w:b/>
          <w:bCs/>
          <w:color w:val="222222"/>
          <w:sz w:val="21"/>
          <w:szCs w:val="21"/>
        </w:rPr>
        <w:t xml:space="preserve">high-level anticipated workflow</w:t>
      </w:r>
      <w:r>
        <w:rPr>
          <w:color w:val="222222"/>
          <w:sz w:val="21"/>
          <w:szCs w:val="21"/>
        </w:rPr>
        <w:t xml:space="preserve"> for the PI to review and adjust; study logistics are the PI’s to finalize.</w:t>
      </w:r>
    </w:p>
    <w:p>
      <w:pPr>
        <w:pStyle w:val="ListParagraph"/>
        <w:numPr>
          <w:ilvl w:val="0"/>
          <w:numId w:val="4"/>
        </w:numPr>
        <w:spacing w:after="90" w:line="272"/>
      </w:pPr>
      <w:r>
        <w:rPr>
          <w:color w:val="222222"/>
          <w:sz w:val="21"/>
          <w:szCs w:val="21"/>
        </w:rPr>
        <w:t xml:space="preserve">Participant is </w:t>
      </w:r>
      <w:r>
        <w:rPr>
          <w:b/>
          <w:bCs/>
          <w:color w:val="222222"/>
          <w:sz w:val="21"/>
          <w:szCs w:val="21"/>
        </w:rPr>
        <w:t xml:space="preserve">enrolled and consented</w:t>
      </w:r>
      <w:r>
        <w:rPr>
          <w:color w:val="222222"/>
          <w:sz w:val="21"/>
          <w:szCs w:val="21"/>
        </w:rPr>
        <w:t xml:space="preserve"> through the study’s enrolment procedure. </w:t>
      </w:r>
      <w:r>
        <w:rPr>
          <w:i/>
          <w:iCs/>
          <w:color w:val="222222"/>
          <w:sz w:val="21"/>
          <w:szCs w:val="21"/>
        </w:rPr>
        <w:t xml:space="preserve">(For PI review: consent process and documentation.)</w:t>
      </w:r>
    </w:p>
    <w:p>
      <w:pPr>
        <w:pStyle w:val="ListParagraph"/>
        <w:numPr>
          <w:ilvl w:val="0"/>
          <w:numId w:val="4"/>
        </w:numPr>
        <w:spacing w:after="90" w:line="272"/>
      </w:pPr>
      <w:r>
        <w:rPr>
          <w:color w:val="222222"/>
          <w:sz w:val="21"/>
          <w:szCs w:val="21"/>
        </w:rPr>
        <w:t xml:space="preserve">Participant is given access to the tool on a </w:t>
      </w:r>
      <w:r>
        <w:rPr>
          <w:b/>
          <w:bCs/>
          <w:color w:val="222222"/>
          <w:sz w:val="21"/>
          <w:szCs w:val="21"/>
        </w:rPr>
        <w:t xml:space="preserve">provided device</w:t>
      </w:r>
      <w:r>
        <w:rPr>
          <w:color w:val="222222"/>
          <w:sz w:val="21"/>
          <w:szCs w:val="21"/>
        </w:rPr>
        <w:t xml:space="preserve">. </w:t>
      </w:r>
      <w:r>
        <w:rPr>
          <w:i/>
          <w:iCs/>
          <w:color w:val="222222"/>
          <w:sz w:val="21"/>
          <w:szCs w:val="21"/>
        </w:rPr>
        <w:t xml:space="preserve">(For PI review: who provides the device and how it is prepared.)</w:t>
      </w:r>
    </w:p>
    <w:p>
      <w:pPr>
        <w:pStyle w:val="ListParagraph"/>
        <w:numPr>
          <w:ilvl w:val="0"/>
          <w:numId w:val="4"/>
        </w:numPr>
        <w:spacing w:after="90" w:line="272"/>
      </w:pPr>
      <w:r>
        <w:rPr>
          <w:color w:val="222222"/>
          <w:sz w:val="21"/>
          <w:szCs w:val="21"/>
        </w:rPr>
        <w:t xml:space="preserve">Participant </w:t>
      </w:r>
      <w:r>
        <w:rPr>
          <w:b/>
          <w:bCs/>
          <w:color w:val="222222"/>
          <w:sz w:val="21"/>
          <w:szCs w:val="21"/>
        </w:rPr>
        <w:t xml:space="preserve">completes the drawing and questionnaires</w:t>
      </w:r>
      <w:r>
        <w:rPr>
          <w:color w:val="222222"/>
          <w:sz w:val="21"/>
          <w:szCs w:val="21"/>
        </w:rPr>
        <w:t xml:space="preserve">.</w:t>
      </w:r>
    </w:p>
    <w:p>
      <w:pPr>
        <w:pStyle w:val="ListParagraph"/>
        <w:numPr>
          <w:ilvl w:val="0"/>
          <w:numId w:val="4"/>
        </w:numPr>
        <w:spacing w:after="90" w:line="272"/>
      </w:pPr>
      <w:r>
        <w:rPr>
          <w:color w:val="222222"/>
          <w:sz w:val="21"/>
          <w:szCs w:val="21"/>
        </w:rPr>
        <w:t xml:space="preserve">Participant </w:t>
      </w:r>
      <w:r>
        <w:rPr>
          <w:b/>
          <w:bCs/>
          <w:color w:val="222222"/>
          <w:sz w:val="21"/>
          <w:szCs w:val="21"/>
        </w:rPr>
        <w:t xml:space="preserve">downloads the response bundle</w:t>
      </w:r>
      <w:r>
        <w:rPr>
          <w:color w:val="222222"/>
          <w:sz w:val="21"/>
          <w:szCs w:val="21"/>
        </w:rPr>
        <w:t xml:space="preserve"> at the end of the session.</w:t>
      </w:r>
    </w:p>
    <w:p>
      <w:pPr>
        <w:pStyle w:val="ListParagraph"/>
        <w:numPr>
          <w:ilvl w:val="0"/>
          <w:numId w:val="4"/>
        </w:numPr>
        <w:spacing w:after="90" w:line="272"/>
      </w:pPr>
      <w:r>
        <w:rPr>
          <w:color w:val="222222"/>
          <w:sz w:val="21"/>
          <w:szCs w:val="21"/>
        </w:rPr>
        <w:t xml:space="preserve">Participant </w:t>
      </w:r>
      <w:r>
        <w:rPr>
          <w:b/>
          <w:bCs/>
          <w:color w:val="222222"/>
          <w:sz w:val="21"/>
          <w:szCs w:val="21"/>
        </w:rPr>
        <w:t xml:space="preserve">saves the file to the provided encrypted device</w:t>
      </w:r>
      <w:r>
        <w:rPr>
          <w:color w:val="222222"/>
          <w:sz w:val="21"/>
          <w:szCs w:val="21"/>
        </w:rPr>
        <w:t xml:space="preserve">, then </w:t>
      </w:r>
      <w:r>
        <w:rPr>
          <w:b/>
          <w:bCs/>
          <w:color w:val="222222"/>
          <w:sz w:val="21"/>
          <w:szCs w:val="21"/>
        </w:rPr>
        <w:t xml:space="preserve">moves it off the local machine’s Downloads folder and deletes the local copy</w:t>
      </w:r>
      <w:r>
        <w:rPr>
          <w:color w:val="222222"/>
          <w:sz w:val="21"/>
          <w:szCs w:val="21"/>
        </w:rPr>
        <w:t xml:space="preserve">. </w:t>
      </w:r>
      <w:r>
        <w:rPr>
          <w:i/>
          <w:iCs/>
          <w:color w:val="222222"/>
          <w:sz w:val="21"/>
          <w:szCs w:val="21"/>
        </w:rPr>
        <w:t xml:space="preserve">(See note below.)</w:t>
      </w:r>
    </w:p>
    <w:p>
      <w:pPr>
        <w:pStyle w:val="ListParagraph"/>
        <w:numPr>
          <w:ilvl w:val="0"/>
          <w:numId w:val="4"/>
        </w:numPr>
        <w:spacing w:after="90" w:line="272"/>
      </w:pPr>
      <w:r>
        <w:rPr>
          <w:color w:val="222222"/>
          <w:sz w:val="21"/>
          <w:szCs w:val="21"/>
        </w:rPr>
        <w:t xml:space="preserve">Participant </w:t>
      </w:r>
      <w:r>
        <w:rPr>
          <w:b/>
          <w:bCs/>
          <w:color w:val="222222"/>
          <w:sz w:val="21"/>
          <w:szCs w:val="21"/>
        </w:rPr>
        <w:t xml:space="preserve">confirms the file is saved</w:t>
      </w:r>
      <w:r>
        <w:rPr>
          <w:color w:val="222222"/>
          <w:sz w:val="21"/>
          <w:szCs w:val="21"/>
        </w:rPr>
        <w:t xml:space="preserve"> before finishing.</w:t>
      </w:r>
    </w:p>
    <w:p>
      <w:pPr>
        <w:pStyle w:val="ListParagraph"/>
        <w:numPr>
          <w:ilvl w:val="0"/>
          <w:numId w:val="4"/>
        </w:numPr>
        <w:spacing w:after="90" w:line="272"/>
      </w:pPr>
      <w:r>
        <w:rPr>
          <w:color w:val="222222"/>
          <w:sz w:val="21"/>
          <w:szCs w:val="21"/>
        </w:rPr>
        <w:t xml:space="preserve">Device and data are </w:t>
      </w:r>
      <w:r>
        <w:rPr>
          <w:b/>
          <w:bCs/>
          <w:color w:val="222222"/>
          <w:sz w:val="21"/>
          <w:szCs w:val="21"/>
        </w:rPr>
        <w:t xml:space="preserve">handled per the study’s data-management plan</w:t>
      </w:r>
      <w:r>
        <w:rPr>
          <w:color w:val="222222"/>
          <w:sz w:val="21"/>
          <w:szCs w:val="21"/>
        </w:rPr>
        <w:t xml:space="preserve">. </w:t>
      </w:r>
      <w:r>
        <w:rPr>
          <w:i/>
          <w:iCs/>
          <w:color w:val="222222"/>
          <w:sz w:val="21"/>
          <w:szCs w:val="21"/>
        </w:rPr>
        <w:t xml:space="preserve">(For PI review: custody, retention period, deletion of local copies, and any later transfer to EmPOWER/SPINA.)</w:t>
      </w:r>
    </w:p>
    <w:p>
      <w:pPr>
        <w:spacing w:after="40"/>
      </w:pPr>
    </w:p>
    <w:tbl>
      <w:tblPr>
        <w:tblW w:type="dxa" w:w="9360"/>
        <w:tblBorders>
          <w:top w:val="single" w:color="9BB4C4" w:sz="4"/>
          <w:left w:val="single" w:color="2E6E8E" w:sz="12"/>
          <w:bottom w:val="single" w:color="9BB4C4" w:sz="4"/>
          <w:right w:val="single" w:color="9BB4C4" w:sz="4"/>
          <w:insideH w:val="none"/>
          <w:insideV w:val="none"/>
        </w:tblBorders>
      </w:tblPr>
      <w:tblGrid>
        <w:gridCol w:w="9360"/>
      </w:tblGrid>
      <w:tr>
        <w:tc>
          <w:tcPr>
            <w:tcW w:type="dxa" w:w="9360"/>
            <w:shd w:fill="FBF3D9" w:color="auto" w:val="clear"/>
            <w:tcMar>
              <w:top w:type="dxa" w:w="120"/>
              <w:left w:type="dxa" w:w="160"/>
              <w:bottom w:type="dxa" w:w="120"/>
              <w:right w:type="dxa" w:w="160"/>
            </w:tcMar>
          </w:tcPr>
          <w:p>
            <w:pPr>
              <w:spacing w:after="0" w:line="268"/>
            </w:pPr>
            <w:r>
              <w:rPr>
                <w:color w:val="333333"/>
                <w:sz w:val="20"/>
                <w:szCs w:val="20"/>
              </w:rPr>
              <w:t xml:space="preserve">Residual local-copy note (important for the SOP): the response bundle is written unencrypted to the browser’s default Downloads location before it is moved to the encrypted device. The SOP should require moving it to the encrypted device and deleting the local copy, particularly on any shared or reused device.</w:t>
            </w:r>
          </w:p>
        </w:tc>
      </w:tr>
    </w:tbl>
    <w:p>
      <w:pPr>
        <w:spacing w:after="80"/>
      </w:pPr>
    </w:p>
    <w:p>
      <w:pPr>
        <w:spacing w:after="120" w:line="276"/>
      </w:pPr>
      <w:r>
        <w:rPr>
          <w:color w:val="222222"/>
          <w:sz w:val="21"/>
          <w:szCs w:val="21"/>
        </w:rPr>
        <w:t xml:space="preserve">For device-encryption and data-residency specifics, see the separate </w:t>
      </w:r>
      <w:r>
        <w:rPr>
          <w:b/>
          <w:bCs/>
          <w:color w:val="222222"/>
          <w:sz w:val="21"/>
          <w:szCs w:val="21"/>
        </w:rPr>
        <w:t xml:space="preserve">Data Residency Decision Review</w:t>
      </w:r>
      <w:r>
        <w:rPr>
          <w:color w:val="222222"/>
          <w:sz w:val="21"/>
          <w:szCs w:val="21"/>
        </w:rPr>
        <w:t xml:space="preserve"> (companion document).</w:t>
      </w:r>
    </w:p>
    <w:p>
      <w:pPr>
        <w:pStyle w:val="Heading1"/>
        <w:spacing w:after="140" w:before="320"/>
      </w:pPr>
      <w:r>
        <w:rPr>
          <w:b/>
          <w:bCs/>
          <w:color w:val="1F3A5F"/>
          <w:sz w:val="30"/>
          <w:szCs w:val="30"/>
        </w:rPr>
        <w:t xml:space="preserve">7. Alignment with the TCPS 2 core principles</w:t>
      </w:r>
    </w:p>
    <w:p>
      <w:pPr>
        <w:spacing w:after="120" w:line="276"/>
      </w:pPr>
      <w:r>
        <w:rPr>
          <w:color w:val="222222"/>
          <w:sz w:val="21"/>
          <w:szCs w:val="21"/>
        </w:rPr>
        <w:t xml:space="preserve">The table maps the application’s built-in measures to the three core principles of the Tri-Council Policy Statement (TCPS 2). Full coverage of each principle is completed at the study level by the PI; the entries below are the contributions the </w:t>
      </w:r>
      <w:r>
        <w:rPr>
          <w:b/>
          <w:bCs/>
          <w:color w:val="222222"/>
          <w:sz w:val="21"/>
          <w:szCs w:val="21"/>
        </w:rPr>
        <w:t xml:space="preserve">tool itself</w:t>
      </w:r>
      <w:r>
        <w:rPr>
          <w:color w:val="222222"/>
          <w:sz w:val="21"/>
          <w:szCs w:val="21"/>
        </w:rPr>
        <w:t xml:space="preserve"> makes.</w:t>
      </w:r>
    </w:p>
    <w:tbl>
      <w:tblPr>
        <w:tblW w:type="dxa" w:w="9360"/>
        <w:tblBorders>
          <w:top w:val="single" w:color="9BB4C4" w:sz="2"/>
          <w:left w:val="single" w:color="9BB4C4" w:sz="2"/>
          <w:bottom w:val="single" w:color="9BB4C4" w:sz="2"/>
          <w:right w:val="single" w:color="9BB4C4" w:sz="2"/>
          <w:insideH w:val="single" w:color="9BB4C4" w:sz="2"/>
          <w:insideV w:val="single" w:color="9BB4C4" w:sz="2"/>
        </w:tblBorders>
      </w:tblPr>
      <w:tblGrid>
        <w:gridCol w:w="2600"/>
        <w:gridCol w:w="6760"/>
      </w:tblGrid>
      <w:tr>
        <w:trPr>
          <w:tblHeader/>
        </w:trPr>
        <w:tc>
          <w:tcPr>
            <w:tcW w:type="dxa" w:w="2600"/>
            <w:shd w:fill="1F3A5F" w:color="auto" w:val="clear"/>
            <w:tcMar>
              <w:top w:type="dxa" w:w="80"/>
              <w:left w:type="dxa" w:w="110"/>
              <w:bottom w:type="dxa" w:w="80"/>
              <w:right w:type="dxa" w:w="110"/>
            </w:tcMar>
          </w:tcPr>
          <w:p>
            <w:pPr>
              <w:spacing w:after="0"/>
            </w:pPr>
            <w:r>
              <w:rPr>
                <w:b/>
                <w:bCs/>
                <w:color w:val="FFFFFF"/>
                <w:sz w:val="19"/>
                <w:szCs w:val="19"/>
              </w:rPr>
              <w:t xml:space="preserve">Principle</w:t>
            </w:r>
          </w:p>
        </w:tc>
        <w:tc>
          <w:tcPr>
            <w:tcW w:type="dxa" w:w="6760"/>
            <w:shd w:fill="1F3A5F" w:color="auto" w:val="clear"/>
            <w:tcMar>
              <w:top w:type="dxa" w:w="80"/>
              <w:left w:type="dxa" w:w="110"/>
              <w:bottom w:type="dxa" w:w="80"/>
              <w:right w:type="dxa" w:w="110"/>
            </w:tcMar>
          </w:tcPr>
          <w:p>
            <w:pPr>
              <w:spacing w:after="0"/>
            </w:pPr>
            <w:r>
              <w:rPr>
                <w:b/>
                <w:bCs/>
                <w:color w:val="FFFFFF"/>
                <w:sz w:val="19"/>
                <w:szCs w:val="19"/>
              </w:rPr>
              <w:t xml:space="preserve">How the application supports it</w:t>
            </w:r>
          </w:p>
        </w:tc>
      </w:tr>
      <w:tr>
        <w:tc>
          <w:tcPr>
            <w:tcW w:type="dxa" w:w="2600"/>
            <w:shd w:fill="EEF3F7" w:color="auto" w:val="clear"/>
            <w:tcMar>
              <w:top w:type="dxa" w:w="70"/>
              <w:left w:type="dxa" w:w="110"/>
              <w:bottom w:type="dxa" w:w="70"/>
              <w:right w:type="dxa" w:w="110"/>
            </w:tcMar>
          </w:tcPr>
          <w:p>
            <w:pPr>
              <w:spacing w:after="0" w:line="264"/>
            </w:pPr>
            <w:r>
              <w:rPr>
                <w:b/>
                <w:bCs/>
                <w:color w:val="222222"/>
                <w:sz w:val="19"/>
                <w:szCs w:val="19"/>
              </w:rPr>
              <w:t xml:space="preserve">Respect for Persons</w:t>
            </w:r>
          </w:p>
        </w:tc>
        <w:tc>
          <w:tcPr>
            <w:tcW w:type="dxa" w:w="6760"/>
            <w:shd w:fill="EEF3F7" w:color="auto" w:val="clear"/>
            <w:tcMar>
              <w:top w:type="dxa" w:w="70"/>
              <w:left w:type="dxa" w:w="110"/>
              <w:bottom w:type="dxa" w:w="70"/>
              <w:right w:type="dxa" w:w="110"/>
            </w:tcMar>
          </w:tcPr>
          <w:p>
            <w:pPr>
              <w:spacing w:after="0" w:line="264"/>
            </w:pPr>
            <w:r>
              <w:rPr>
                <w:color w:val="222222"/>
                <w:sz w:val="19"/>
                <w:szCs w:val="19"/>
              </w:rPr>
              <w:t xml:space="preserve">Assumes consent is obtained at enrolment (no covert use); “Prefer not to answer” offered on the sensitive onset question; no hidden tracking; participant holds the only copy of their data, supporting withdrawal</w:t>
            </w:r>
          </w:p>
        </w:tc>
      </w:tr>
      <w:tr>
        <w:tc>
          <w:tcPr>
            <w:tcW w:type="dxa" w:w="2600"/>
            <w:shd w:fill="FFFFFF" w:color="auto" w:val="clear"/>
            <w:tcMar>
              <w:top w:type="dxa" w:w="70"/>
              <w:left w:type="dxa" w:w="110"/>
              <w:bottom w:type="dxa" w:w="70"/>
              <w:right w:type="dxa" w:w="110"/>
            </w:tcMar>
          </w:tcPr>
          <w:p>
            <w:pPr>
              <w:spacing w:after="0" w:line="264"/>
            </w:pPr>
            <w:r>
              <w:rPr>
                <w:b/>
                <w:bCs/>
                <w:color w:val="222222"/>
                <w:sz w:val="19"/>
                <w:szCs w:val="19"/>
              </w:rPr>
              <w:t xml:space="preserve">Concern for Welfare</w:t>
            </w:r>
          </w:p>
        </w:tc>
        <w:tc>
          <w:tcPr>
            <w:tcW w:type="dxa" w:w="6760"/>
            <w:shd w:fill="FFFFFF" w:color="auto" w:val="clear"/>
            <w:tcMar>
              <w:top w:type="dxa" w:w="70"/>
              <w:left w:type="dxa" w:w="110"/>
              <w:bottom w:type="dxa" w:w="70"/>
              <w:right w:type="dxa" w:w="110"/>
            </w:tcMar>
          </w:tcPr>
          <w:p>
            <w:pPr>
              <w:spacing w:after="0" w:line="264"/>
            </w:pPr>
            <w:r>
              <w:rPr>
                <w:color w:val="222222"/>
                <w:sz w:val="19"/>
                <w:szCs w:val="19"/>
              </w:rPr>
              <w:t xml:space="preserve">Data minimization (no direct identifiers, coarse device info only); no participant imagery; no server-side data store to breach; responses stored on a provided encrypted device; no third-party data leakage</w:t>
            </w:r>
          </w:p>
        </w:tc>
      </w:tr>
      <w:tr>
        <w:tc>
          <w:tcPr>
            <w:tcW w:type="dxa" w:w="2600"/>
            <w:shd w:fill="EEF3F7" w:color="auto" w:val="clear"/>
            <w:tcMar>
              <w:top w:type="dxa" w:w="70"/>
              <w:left w:type="dxa" w:w="110"/>
              <w:bottom w:type="dxa" w:w="70"/>
              <w:right w:type="dxa" w:w="110"/>
            </w:tcMar>
          </w:tcPr>
          <w:p>
            <w:pPr>
              <w:spacing w:after="0" w:line="264"/>
            </w:pPr>
            <w:r>
              <w:rPr>
                <w:b/>
                <w:bCs/>
                <w:color w:val="222222"/>
                <w:sz w:val="19"/>
                <w:szCs w:val="19"/>
              </w:rPr>
              <w:t xml:space="preserve">Justice</w:t>
            </w:r>
          </w:p>
        </w:tc>
        <w:tc>
          <w:tcPr>
            <w:tcW w:type="dxa" w:w="6760"/>
            <w:shd w:fill="EEF3F7" w:color="auto" w:val="clear"/>
            <w:tcMar>
              <w:top w:type="dxa" w:w="70"/>
              <w:left w:type="dxa" w:w="110"/>
              <w:bottom w:type="dxa" w:w="70"/>
              <w:right w:type="dxa" w:w="110"/>
            </w:tcMar>
          </w:tcPr>
          <w:p>
            <w:pPr>
              <w:spacing w:after="0" w:line="264"/>
            </w:pPr>
            <w:r>
              <w:rPr>
                <w:color w:val="222222"/>
                <w:sz w:val="19"/>
                <w:szCs w:val="19"/>
              </w:rPr>
              <w:t xml:space="preserve">Accessible, equitable design — reduced-motion support, keyboard and ARIA support, and a non-drawing name-based path so the task does not exclude participants who cannot draw</w:t>
            </w:r>
          </w:p>
        </w:tc>
      </w:tr>
    </w:tbl>
    <w:p>
      <w:pPr>
        <w:pStyle w:val="Heading1"/>
        <w:spacing w:after="140" w:before="320"/>
      </w:pPr>
      <w:r>
        <w:rPr>
          <w:b/>
          <w:bCs/>
          <w:color w:val="1F3A5F"/>
          <w:sz w:val="30"/>
          <w:szCs w:val="30"/>
        </w:rPr>
        <w:t xml:space="preserve">Appendix — data output reference</w:t>
      </w:r>
    </w:p>
    <w:p>
      <w:pPr>
        <w:spacing w:after="120" w:line="276"/>
      </w:pPr>
      <w:r>
        <w:rPr>
          <w:color w:val="222222"/>
          <w:sz w:val="21"/>
          <w:szCs w:val="21"/>
        </w:rPr>
        <w:t xml:space="preserve">When a session is saved, the browser produces a single archive containing one participant’s completed assessment:</w:t>
      </w:r>
    </w:p>
    <w:tbl>
      <w:tblPr>
        <w:tblW w:type="dxa" w:w="9360"/>
        <w:tblBorders>
          <w:top w:val="single" w:color="9BB4C4" w:sz="2"/>
          <w:left w:val="single" w:color="9BB4C4" w:sz="2"/>
          <w:bottom w:val="single" w:color="9BB4C4" w:sz="2"/>
          <w:right w:val="single" w:color="9BB4C4" w:sz="2"/>
          <w:insideH w:val="single" w:color="auto" w:sz="4"/>
          <w:insideV w:val="single" w:color="auto" w:sz="4"/>
        </w:tblBorders>
      </w:tblPr>
      <w:tblGrid>
        <w:gridCol w:w="9360"/>
      </w:tblGrid>
      <w:tr>
        <w:tc>
          <w:tcPr>
            <w:tcW w:type="dxa" w:w="9360"/>
            <w:shd w:fill="F4F4F4" w:color="auto" w:val="clear"/>
            <w:tcMar>
              <w:top w:type="dxa" w:w="100"/>
              <w:left w:type="dxa" w:w="140"/>
              <w:bottom w:type="dxa" w:w="100"/>
              <w:right w:type="dxa" w:w="140"/>
            </w:tcMar>
          </w:tcPr>
          <w:p>
            <w:pPr>
              <w:spacing w:after="0" w:line="240"/>
            </w:pPr>
            <w:r>
              <w:rPr>
                <w:rFonts w:ascii="Consolas" w:cs="Consolas" w:eastAsia="Consolas" w:hAnsi="Consolas"/>
                <w:color w:val="333333"/>
                <w:sz w:val="17"/>
                <w:szCs w:val="17"/>
              </w:rPr>
              <w:t xml:space="preserve">pain-assessment_&lt;stamp&gt;_&lt;id&gt;/</w:t>
            </w:r>
          </w:p>
          <w:p>
            <w:pPr>
              <w:spacing w:after="0" w:line="240"/>
            </w:pPr>
            <w:r>
              <w:rPr>
                <w:rFonts w:ascii="Consolas" w:cs="Consolas" w:eastAsia="Consolas" w:hAnsi="Consolas"/>
                <w:color w:val="333333"/>
                <w:sz w:val="17"/>
                <w:szCs w:val="17"/>
              </w:rPr>
              <w:t xml:space="preserve">  metadata.json                          full record (canonical)</w:t>
            </w:r>
          </w:p>
          <w:p>
            <w:pPr>
              <w:spacing w:after="0" w:line="240"/>
            </w:pPr>
            <w:r>
              <w:rPr>
                <w:rFonts w:ascii="Consolas" w:cs="Consolas" w:eastAsia="Consolas" w:hAnsi="Consolas"/>
                <w:color w:val="333333"/>
                <w:sz w:val="17"/>
                <w:szCs w:val="17"/>
              </w:rPr>
              <w:t xml:space="preserve">  snapshots/{front,back,left,right}.png  all areas, four angles</w:t>
            </w:r>
          </w:p>
          <w:p>
            <w:pPr>
              <w:spacing w:after="0" w:line="240"/>
            </w:pPr>
            <w:r>
              <w:rPr>
                <w:rFonts w:ascii="Consolas" w:cs="Consolas" w:eastAsia="Consolas" w:hAnsi="Consolas"/>
                <w:color w:val="333333"/>
                <w:sz w:val="17"/>
                <w:szCs w:val="17"/>
              </w:rPr>
              <w:t xml:space="preserve">  areas/area-&lt;n&gt;/{front,back,left,right}.png   each area alone</w:t>
            </w:r>
          </w:p>
          <w:p>
            <w:pPr>
              <w:spacing w:after="0" w:line="240"/>
            </w:pPr>
            <w:r>
              <w:rPr>
                <w:rFonts w:ascii="Consolas" w:cs="Consolas" w:eastAsia="Consolas" w:hAnsi="Consolas"/>
                <w:color w:val="333333"/>
                <w:sz w:val="17"/>
                <w:szCs w:val="17"/>
              </w:rPr>
              <w:t xml:space="preserve">  csv/</w:t>
            </w:r>
          </w:p>
          <w:p>
            <w:pPr>
              <w:spacing w:after="0" w:line="240"/>
            </w:pPr>
            <w:r>
              <w:rPr>
                <w:rFonts w:ascii="Consolas" w:cs="Consolas" w:eastAsia="Consolas" w:hAnsi="Consolas"/>
                <w:color w:val="333333"/>
                <w:sz w:val="17"/>
                <w:szCs w:val="17"/>
              </w:rPr>
              <w:t xml:space="preserve">    session.csv    one row  — session metadata + general questionnaire</w:t>
            </w:r>
          </w:p>
          <w:p>
            <w:pPr>
              <w:spacing w:after="0" w:line="240"/>
            </w:pPr>
            <w:r>
              <w:rPr>
                <w:rFonts w:ascii="Consolas" w:cs="Consolas" w:eastAsia="Consolas" w:hAnsi="Consolas"/>
                <w:color w:val="333333"/>
                <w:sz w:val="17"/>
                <w:szCs w:val="17"/>
              </w:rPr>
              <w:t xml:space="preserve">    areas.csv      one row per area — summary + area questionnaire</w:t>
            </w:r>
          </w:p>
          <w:p>
            <w:pPr>
              <w:spacing w:after="0" w:line="240"/>
            </w:pPr>
            <w:r>
              <w:rPr>
                <w:rFonts w:ascii="Consolas" w:cs="Consolas" w:eastAsia="Consolas" w:hAnsi="Consolas"/>
                <w:color w:val="333333"/>
                <w:sz w:val="17"/>
                <w:szCs w:val="17"/>
              </w:rPr>
              <w:t xml:space="preserve">    coverage.csv   long format — one row per (area, region)</w:t>
            </w:r>
          </w:p>
          <w:p>
            <w:pPr>
              <w:spacing w:after="0" w:line="240"/>
            </w:pPr>
            <w:r>
              <w:rPr>
                <w:rFonts w:ascii="Consolas" w:cs="Consolas" w:eastAsia="Consolas" w:hAnsi="Consolas"/>
                <w:color w:val="333333"/>
                <w:sz w:val="17"/>
                <w:szCs w:val="17"/>
              </w:rPr>
              <w:t xml:space="preserve">    README.md      the data dictionary (explains every column)</w:t>
            </w:r>
          </w:p>
        </w:tc>
      </w:tr>
    </w:tbl>
    <w:p>
      <w:pPr>
        <w:spacing w:after="80"/>
      </w:pPr>
    </w:p>
    <w:p>
      <w:pPr>
        <w:pStyle w:val="ListParagraph"/>
        <w:numPr>
          <w:ilvl w:val="0"/>
          <w:numId w:val="3"/>
        </w:numPr>
        <w:spacing w:after="90" w:line="272"/>
      </w:pPr>
      <w:r>
        <w:rPr>
          <w:rFonts w:ascii="Consolas" w:cs="Consolas" w:eastAsia="Consolas" w:hAnsi="Consolas"/>
          <w:color w:val="222222"/>
          <w:sz w:val="21"/>
          <w:szCs w:val="21"/>
        </w:rPr>
        <w:t xml:space="preserve">&lt;stamp&gt;</w:t>
      </w:r>
      <w:r>
        <w:rPr>
          <w:color w:val="222222"/>
          <w:sz w:val="21"/>
          <w:szCs w:val="21"/>
        </w:rPr>
        <w:t xml:space="preserve"> is a local date/time; </w:t>
      </w:r>
      <w:r>
        <w:rPr>
          <w:rFonts w:ascii="Consolas" w:cs="Consolas" w:eastAsia="Consolas" w:hAnsi="Consolas"/>
          <w:color w:val="222222"/>
          <w:sz w:val="21"/>
          <w:szCs w:val="21"/>
        </w:rPr>
        <w:t xml:space="preserve">&lt;id&gt;</w:t>
      </w:r>
      <w:r>
        <w:rPr>
          <w:color w:val="222222"/>
          <w:sz w:val="21"/>
          <w:szCs w:val="21"/>
        </w:rPr>
        <w:t xml:space="preserve"> is the </w:t>
      </w:r>
      <w:r>
        <w:rPr>
          <w:b/>
          <w:bCs/>
          <w:color w:val="222222"/>
          <w:sz w:val="21"/>
          <w:szCs w:val="21"/>
        </w:rPr>
        <w:t xml:space="preserve">random, non-identifying</w:t>
      </w:r>
      <w:r>
        <w:rPr>
          <w:color w:val="222222"/>
          <w:sz w:val="21"/>
          <w:szCs w:val="21"/>
        </w:rPr>
        <w:t xml:space="preserve"> session id.</w:t>
      </w:r>
    </w:p>
    <w:p>
      <w:pPr>
        <w:pStyle w:val="ListParagraph"/>
        <w:numPr>
          <w:ilvl w:val="0"/>
          <w:numId w:val="3"/>
        </w:numPr>
        <w:spacing w:after="90" w:line="272"/>
      </w:pPr>
      <w:r>
        <w:rPr>
          <w:b/>
          <w:bCs/>
          <w:color w:val="222222"/>
          <w:sz w:val="21"/>
          <w:szCs w:val="21"/>
        </w:rPr>
        <w:t xml:space="preserve">Join keys:</w:t>
      </w:r>
      <w:r>
        <w:rPr>
          <w:color w:val="222222"/>
          <w:sz w:val="21"/>
          <w:szCs w:val="21"/>
        </w:rPr>
        <w:t xml:space="preserve"> </w:t>
      </w:r>
      <w:r>
        <w:rPr>
          <w:rFonts w:ascii="Consolas" w:cs="Consolas" w:eastAsia="Consolas" w:hAnsi="Consolas"/>
          <w:color w:val="222222"/>
          <w:sz w:val="21"/>
          <w:szCs w:val="21"/>
        </w:rPr>
        <w:t xml:space="preserve">sessionId</w:t>
      </w:r>
      <w:r>
        <w:rPr>
          <w:color w:val="222222"/>
          <w:sz w:val="21"/>
          <w:szCs w:val="21"/>
        </w:rPr>
        <w:t xml:space="preserve"> links every file to the session; </w:t>
      </w:r>
      <w:r>
        <w:rPr>
          <w:rFonts w:ascii="Consolas" w:cs="Consolas" w:eastAsia="Consolas" w:hAnsi="Consolas"/>
          <w:color w:val="222222"/>
          <w:sz w:val="21"/>
          <w:szCs w:val="21"/>
        </w:rPr>
        <w:t xml:space="preserve">areaNumber</w:t>
      </w:r>
      <w:r>
        <w:rPr>
          <w:color w:val="222222"/>
          <w:sz w:val="21"/>
          <w:szCs w:val="21"/>
        </w:rPr>
        <w:t xml:space="preserve"> links the per-area files together.</w:t>
      </w:r>
    </w:p>
    <w:p>
      <w:pPr>
        <w:pStyle w:val="ListParagraph"/>
        <w:numPr>
          <w:ilvl w:val="0"/>
          <w:numId w:val="3"/>
        </w:numPr>
        <w:spacing w:after="90" w:line="272"/>
      </w:pPr>
      <w:r>
        <w:rPr>
          <w:color w:val="222222"/>
          <w:sz w:val="21"/>
          <w:szCs w:val="21"/>
        </w:rPr>
        <w:t xml:space="preserve">Every column is documented in the bundled data dictionary; the canonical copy is </w:t>
      </w:r>
      <w:r>
        <w:rPr>
          <w:rFonts w:ascii="Consolas" w:cs="Consolas" w:eastAsia="Consolas" w:hAnsi="Consolas"/>
          <w:color w:val="222222"/>
          <w:sz w:val="21"/>
          <w:szCs w:val="21"/>
        </w:rPr>
        <w:t xml:space="preserve">docs/DATA_DICTIONARY.md</w:t>
      </w:r>
      <w:r>
        <w:rPr>
          <w:color w:val="222222"/>
          <w:sz w:val="21"/>
          <w:szCs w:val="21"/>
        </w:rPr>
        <w:t xml:space="preserve">.</w:t>
      </w:r>
    </w:p>
    <w:p>
      <w:pPr>
        <w:pBdr>
          <w:bottom w:val="single" w:color="9BB4C4" w:sz="6" w:space="1"/>
        </w:pBdr>
        <w:spacing w:after="160" w:before="60"/>
      </w:pPr>
    </w:p>
    <w:p>
      <w:pPr>
        <w:pStyle w:val="Heading1"/>
        <w:spacing w:after="140" w:before="320"/>
      </w:pPr>
      <w:r>
        <w:rPr>
          <w:b/>
          <w:bCs/>
          <w:color w:val="1F3A5F"/>
          <w:sz w:val="30"/>
          <w:szCs w:val="30"/>
        </w:rPr>
        <w:t xml:space="preserve">Closing note</w:t>
      </w:r>
    </w:p>
    <w:p>
      <w:pPr>
        <w:spacing w:after="120" w:line="276"/>
      </w:pPr>
      <w:r>
        <w:rPr>
          <w:color w:val="222222"/>
          <w:sz w:val="21"/>
          <w:szCs w:val="21"/>
        </w:rPr>
        <w:t xml:space="preserve">This document is </w:t>
      </w:r>
      <w:r>
        <w:rPr>
          <w:b/>
          <w:bCs/>
          <w:color w:val="222222"/>
          <w:sz w:val="21"/>
          <w:szCs w:val="21"/>
        </w:rPr>
        <w:t xml:space="preserve">supporting input for the PI’s REB application</w:t>
      </w:r>
      <w:r>
        <w:rPr>
          <w:color w:val="222222"/>
          <w:sz w:val="21"/>
          <w:szCs w:val="21"/>
        </w:rPr>
        <w:t xml:space="preserve"> — an application-level summary of what the tool does and the ethical and privacy measures built into it. Study-level content and final decisions remain with the PI, and interpretation of ethics and privacy requirements should be confirmed with the </w:t>
      </w:r>
      <w:r>
        <w:rPr>
          <w:b/>
          <w:bCs/>
          <w:color w:val="222222"/>
          <w:sz w:val="21"/>
          <w:szCs w:val="21"/>
        </w:rPr>
        <w:t xml:space="preserve">Western University REB and Privacy Office</w:t>
      </w:r>
      <w:r>
        <w:rPr>
          <w:color w:val="222222"/>
          <w:sz w:val="21"/>
          <w:szCs w:val="21"/>
        </w:rPr>
        <w:t xml:space="preserv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B4C4" w:sz="4" w:space="6"/>
      </w:pBdr>
      <w:jc w:val="center"/>
    </w:pPr>
    <w:r>
      <w:rPr>
        <w:color w:val="555555"/>
        <w:sz w:val="15"/>
        <w:szCs w:val="15"/>
      </w:rPr>
      <w:t xml:space="preserve">3D BodyMap — Application Ethics Summary  ·  </w:t>
    </w:r>
    <w:r>
      <w:rPr>
        <w:color w:val="555555"/>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BodyMap — Application Ethics Summary (REB supporting document)</dc:title>
  <dc:creator>3D BodyMap project</dc:creator>
  <dc:description>Application-level ethics summary supporting the REB proposal</dc:description>
  <cp:lastModifiedBy>Un-named</cp:lastModifiedBy>
  <cp:revision>1</cp:revision>
  <dcterms:created xsi:type="dcterms:W3CDTF">2026-09-16T15:24:32.956Z</dcterms:created>
  <dcterms:modified xsi:type="dcterms:W3CDTF">2026-09-16T15:24:32.957Z</dcterms:modified>
</cp:coreProperties>
</file>

<file path=docProps/custom.xml><?xml version="1.0" encoding="utf-8"?>
<Properties xmlns="http://schemas.openxmlformats.org/officeDocument/2006/custom-properties" xmlns:vt="http://schemas.openxmlformats.org/officeDocument/2006/docPropsVTypes"/>
</file>