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pPr>
        <w:spacing w:before="400" w:after="40"/>
      </w:pPr>
      <w:r>
        <w:rPr>
          <w:b/>
          <w:sz w:val="46"/>
          <w:szCs w:val="46"/>
          <w:color w:val="1F3A5F"/>
        </w:rPr>
        <w:t xml:space="preserve">CTS — Carpal Tunnel Syndrome Diagnostic Survey</w:t>
      </w:r>
    </w:p>
    <w:p>
      <w:pPr>
        <w:pBdr>
          <w:bottom w:val="single" w:color="1F3A5F" w:sz="8" w:space="6"/>
        </w:pBdr>
        <w:spacing w:after="300"/>
      </w:pPr>
      <w:r>
        <w:rPr>
          <w:i/>
          <w:color w:val="555555"/>
        </w:rPr>
        <w:t xml:space="preserve">Design &amp; Workflow Overview (Ver. Oct 2026) — prepared by Jamie Kim (FHS MSK-IF)</w:t>
      </w:r>
    </w:p>
    <w:p>
      <w:pPr>
        <w:pStyle w:val="Heading1"/>
        <w:keepNext/>
        <w:keepLines/>
      </w:pPr>
      <w:r>
        <w:t>How to use this document</w:t>
      </w:r>
    </w:p>
    <w:p>
      <w:pPr>
        <w:spacing w:after="120"/>
      </w:pPr>
      <w:r>
        <w:rPr/>
        <w:t xml:space="preserve">This document describes what the CTS Diagnostic Survey does, how each section works from the participant's point of view, how results are scored and sent to REDCap, and how the code is organized so that a future maintainer can find and change things safely.</w:t>
      </w:r>
    </w:p>
    <w:p>
      <w:pPr>
        <w:spacing w:after="120"/>
      </w:pPr>
      <w:r>
        <w:rPr/>
        <w:t xml:space="preserve">Sections 1–7 describe the application, the REDCap design and the open ethics item, and are intended for anyone involved in the project, including the Principal Investigator (PI). Sections 8–9 are aimed at the person maintaining the code. Getting access to the code, the development workflow, hosting and REDCap setup are covered in the companion CTS GitHub &amp; Server Setup Walkthrough; this document assumes that setup is done.</w:t>
      </w:r>
    </w:p>
    <w:p>
      <w:pPr>
        <w:spacing w:after="120"/>
      </w:pPr>
      <w:r>
        <w:rPr/>
        <w:t xml:space="preserve">Screenshots were taken from the current </w:t>
      </w:r>
      <w:r>
        <w:rPr>
          <w:rFonts w:ascii="Consolas" w:hAnsi="Consolas" w:cs="Consolas"/>
          <w:color w:val="333333"/>
          <w:sz w:val="19"/>
          <w:szCs w:val="19"/>
        </w:rPr>
        <w:t xml:space="preserve">redcap</w:t>
      </w:r>
      <w:r>
        <w:rPr/>
        <w:t xml:space="preserve"> branch using sample data; the study-mode screens (Figures 9–11) use simulated REDCap responses.</w:t>
      </w:r>
    </w:p>
    <w:p>
      <w:pPr>
        <w:spacing w:before="60" w:after="120"/>
        <w:ind w:left="180"/>
      </w:pPr>
      <w:r>
        <w:rPr>
          <w:b/>
        </w:rPr>
        <w:t xml:space="preserve">Status at handover:</w:t>
      </w:r>
      <w:r>
        <w:rPr/>
        <w:t xml:space="preserve"> the REDCap integration is built on the </w:t>
      </w:r>
      <w:r>
        <w:rPr>
          <w:rFonts w:ascii="Consolas" w:hAnsi="Consolas" w:cs="Consolas"/>
          <w:color w:val="333333"/>
          <w:sz w:val="19"/>
          <w:szCs w:val="19"/>
        </w:rPr>
        <w:t xml:space="preserve">redcap</w:t>
      </w:r>
      <w:r>
        <w:rPr/>
        <w:t xml:space="preserve"> branch, but its current hosting design (Cloudflare in front of REDCap) is </w:t>
      </w:r>
      <w:r>
        <w:rPr>
          <w:b/>
        </w:rPr>
        <w:t xml:space="preserve">not expected to receive Research Ethics Board (REB) approval</w:t>
      </w:r>
      <w:r>
        <w:rPr/>
        <w:t xml:space="preserve">. Section 7 explains why and lays out the options. Treat the REDCap code as a working reference, not as a deployable design.</w:t>
      </w:r>
    </w:p>
    <w:p>
      <w:pPr>
        <w:pStyle w:val="Heading1"/>
        <w:keepNext/>
        <w:keepLines/>
      </w:pPr>
      <w:r>
        <w:t>1. Purpose &amp; overview of the application</w:t>
      </w:r>
    </w:p>
    <w:p>
      <w:pPr>
        <w:spacing w:after="120"/>
      </w:pPr>
      <w:r>
        <w:rPr/>
        <w:t xml:space="preserve">The CTS Diagnostic Survey is a website that screens for Carpal Tunnel Syndrome (CTS). A participant answers a short questionnaire, draws their symptoms on hand diagrams, and immediately sees two independent scores. Together the two scores give a more robust screening result than either alone.</w:t>
      </w:r>
    </w:p>
    <w:tbl>
      <w:tblPr>
        <w:tblW w:w="9360" w:type="dxa"/>
        <w:tblLayout w:type="fixed"/>
      </w:tblPr>
      <w:tblGrid>
        <w:gridCol w:w="1882"/>
        <w:gridCol w:w="4310"/>
        <w:gridCol w:w="3166"/>
      </w:tblGrid>
      <w:tr>
        <w:trPr>
          <w:tblHeader/>
        </w:trPr>
        <w:tc>
          <w:tcPr>
            <w:tcW w:type="dxa" w:w="1882"/>
            <w:tcW w:w="1882"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Section</w:t>
            </w:r>
          </w:p>
        </w:tc>
        <w:tc>
          <w:tcPr>
            <w:tcW w:type="dxa" w:w="4310"/>
            <w:tcW w:w="4310"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What it does</w:t>
            </w:r>
          </w:p>
        </w:tc>
        <w:tc>
          <w:tcPr>
            <w:tcW w:type="dxa" w:w="3166"/>
            <w:tcW w:w="3166"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Instrument it is based on</w:t>
            </w:r>
          </w:p>
        </w:tc>
      </w:tr>
      <w:tr>
        <w:trPr>
          <w:cantSplit/>
        </w:trPr>
        <w:tc>
          <w:tcPr>
            <w:tcW w:type="dxa" w:w="1882"/>
            <w:tcW w:w="1882"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 Diagnostic Questions</w:t>
            </w:r>
          </w:p>
        </w:tc>
        <w:tc>
          <w:tcPr>
            <w:tcW w:type="dxa" w:w="4310"/>
            <w:tcW w:w="431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Yes/No questions about numbness, tingling and related symptoms</w:t>
            </w:r>
          </w:p>
        </w:tc>
        <w:tc>
          <w:tcPr>
            <w:tcW w:type="dxa" w:w="3166"/>
            <w:tcW w:w="316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Kamath &amp; Stothard (2003) clinical questionnaire</w:t>
            </w:r>
          </w:p>
        </w:tc>
      </w:tr>
      <w:tr>
        <w:trPr>
          <w:cantSplit/>
        </w:trPr>
        <w:tc>
          <w:tcPr>
            <w:tcW w:type="dxa" w:w="1882"/>
            <w:tcW w:w="1882"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 Hand Diagrams</w:t>
            </w:r>
          </w:p>
        </w:tc>
        <w:tc>
          <w:tcPr>
            <w:tcW w:type="dxa" w:w="4310"/>
            <w:tcW w:w="431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Participant shades areas of pain, tingling and numbness on four hand outlines</w:t>
            </w:r>
          </w:p>
        </w:tc>
        <w:tc>
          <w:tcPr>
            <w:tcW w:type="dxa" w:w="3166"/>
            <w:tcW w:w="316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Katz &amp; Stirrat (1990) self-administered hand diagram</w:t>
            </w:r>
          </w:p>
        </w:tc>
      </w:tr>
      <w:tr>
        <w:trPr>
          <w:cantSplit/>
        </w:trPr>
        <w:tc>
          <w:tcPr>
            <w:tcW w:type="dxa" w:w="1882"/>
            <w:tcW w:w="1882"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3. Results</w:t>
            </w:r>
          </w:p>
        </w:tc>
        <w:tc>
          <w:tcPr>
            <w:tcW w:type="dxa" w:w="4310"/>
            <w:tcW w:w="431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Shows the Kamath-based and Katz-based classifications; print and CSV download</w:t>
            </w:r>
          </w:p>
        </w:tc>
        <w:tc>
          <w:tcPr>
            <w:tcW w:type="dxa" w:w="3166"/>
            <w:tcW w:w="316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w:t>
            </w:r>
          </w:p>
        </w:tc>
      </w:tr>
    </w:tbl>
    <w:p>
      <w:pPr>
        <w:spacing w:before="0" w:after="60"/>
      </w:pPr>
    </w:p>
    <w:p>
      <w:pPr>
        <w:spacing w:after="120"/>
      </w:pPr>
      <w:r>
        <w:rPr/>
        <w:t xml:space="preserve">The application can run in two modes:</w:t>
      </w:r>
    </w:p>
    <w:p>
      <w:pPr>
        <w:pStyle w:val="ListParagraph"/>
        <w:numPr>
          <w:ilvl w:val="0"/>
          <w:numId w:val="122"/>
        </w:numPr>
        <w:spacing w:before="0" w:after="60"/>
      </w:pPr>
      <w:r>
        <w:rPr>
          <w:b/>
        </w:rPr>
        <w:t xml:space="preserve">Standalone mode</w:t>
      </w:r>
      <w:r>
        <w:rPr/>
        <w:t xml:space="preserve"> (no study link). Everything happens inside the browser. Nothing is sent to a server.</w:t>
      </w:r>
    </w:p>
    <w:p>
      <w:pPr>
        <w:pStyle w:val="ListParagraph"/>
        <w:numPr>
          <w:ilvl w:val="0"/>
          <w:numId w:val="122"/>
        </w:numPr>
        <w:spacing w:before="0" w:after="60"/>
      </w:pPr>
      <w:r>
        <w:rPr>
          <w:b/>
        </w:rPr>
        <w:t xml:space="preserve">Study (REDCap) mode</w:t>
      </w:r>
      <w:r>
        <w:rPr/>
        <w:t xml:space="preserve"> (opened from a personalised invitation link containing </w:t>
      </w:r>
      <w:r>
        <w:rPr>
          <w:rFonts w:ascii="Consolas" w:hAnsi="Consolas" w:cs="Consolas"/>
          <w:color w:val="333333"/>
          <w:sz w:val="19"/>
          <w:szCs w:val="19"/>
        </w:rPr>
        <w:t xml:space="preserve">?k=&lt;access key&gt;</w:t>
      </w:r>
      <w:r>
        <w:rPr/>
        <w:t xml:space="preserve">). On reaching the Results page, the responses, scores and hand-diagram images are submitted automatically to the study's REDCap project, against the correct participant and timepoint (baseline, 6-week or 3-month). See Section 5.</w:t>
      </w:r>
    </w:p>
    <w:p>
      <w:pPr>
        <w:pStyle w:val="Heading2"/>
        <w:keepNext/>
        <w:keepLines/>
      </w:pPr>
      <w:r>
        <w:t>1.1 Handover logistics</w:t>
      </w:r>
    </w:p>
    <w:p>
      <w:pPr>
        <w:pStyle w:val="ListParagraph"/>
        <w:numPr>
          <w:ilvl w:val="0"/>
          <w:numId w:val="125"/>
        </w:numPr>
        <w:spacing w:before="0" w:after="60"/>
      </w:pPr>
      <w:r>
        <w:rPr>
          <w:b/>
        </w:rPr>
        <w:t xml:space="preserve">Code:</w:t>
      </w:r>
      <w:r>
        <w:rPr/>
        <w:t xml:space="preserve"> the GitHub repository (</w:t>
      </w:r>
      <w:hyperlink r:id="rId5" w:history="1">
        <w:r>
          <w:rPr>
            <w:rStyle w:val="Hyperlink"/>
          </w:rPr>
          <w:t xml:space="preserve">Jamie215/CTS_survey_app</w:t>
        </w:r>
      </w:hyperlink>
      <w:r>
        <w:rPr/>
        <w:t xml:space="preserve">) is owned by Jamie Kim. The </w:t>
      </w:r>
      <w:r>
        <w:rPr>
          <w:rFonts w:ascii="Consolas" w:hAnsi="Consolas" w:cs="Consolas"/>
          <w:color w:val="333333"/>
          <w:sz w:val="19"/>
          <w:szCs w:val="19"/>
        </w:rPr>
        <w:t xml:space="preserve">main</w:t>
      </w:r>
      <w:r>
        <w:rPr/>
        <w:t xml:space="preserve"> branch holds the standalone application; the </w:t>
      </w:r>
      <w:r>
        <w:rPr>
          <w:rFonts w:ascii="Consolas" w:hAnsi="Consolas" w:cs="Consolas"/>
          <w:color w:val="333333"/>
          <w:sz w:val="19"/>
          <w:szCs w:val="19"/>
        </w:rPr>
        <w:t xml:space="preserve">redcap</w:t>
      </w:r>
      <w:r>
        <w:rPr/>
        <w:t xml:space="preserve"> branch holds the REDCap integration described in Section 5. The successor is expected to fork it into their own account or lab organization (see the Walkthrough, Section 1) and continue the work there.</w:t>
      </w:r>
    </w:p>
    <w:p>
      <w:pPr>
        <w:pStyle w:val="ListParagraph"/>
        <w:numPr>
          <w:ilvl w:val="0"/>
          <w:numId w:val="125"/>
        </w:numPr>
        <w:spacing w:before="0" w:after="60"/>
      </w:pPr>
      <w:r>
        <w:rPr>
          <w:b/>
        </w:rPr>
        <w:t xml:space="preserve">Hosting:</w:t>
      </w:r>
      <w:r>
        <w:rPr/>
        <w:t xml:space="preserve"> the MSK-IF demo was hosted on Jamie Kim's personal Cloudflare Pages account. Given the REB concern in Section 7, study data should not go through Cloudflare. The Walkthrough, Section 3, covers hosting for the chosen option: Cloudflare Pages for in-person collection, where nothing is submitted (option 1a), or a Western-managed (WTS) server for remote collection (option 2a).</w:t>
      </w:r>
    </w:p>
    <w:p>
      <w:pPr>
        <w:pStyle w:val="ListParagraph"/>
        <w:numPr>
          <w:ilvl w:val="0"/>
          <w:numId w:val="125"/>
        </w:numPr>
        <w:spacing w:before="0" w:after="60"/>
      </w:pPr>
      <w:r>
        <w:rPr>
          <w:b/>
        </w:rPr>
        <w:t xml:space="preserve">Questions:</w:t>
      </w:r>
      <w:r>
        <w:rPr/>
        <w:t xml:space="preserve"> reach out to Jamie Kim (jamiejmkim.jmk@gmail.com).</w:t>
      </w:r>
    </w:p>
    <w:p>
      <w:pPr>
        <w:pStyle w:val="Heading1"/>
        <w:keepNext/>
        <w:keepLines/>
      </w:pPr>
      <w:r>
        <w:t>2. Diagnostic Questions (Kamath-based)</w:t>
      </w:r>
    </w:p>
    <w:p>
      <w:pPr>
        <w:pStyle w:val="Heading3"/>
        <w:keepNext/>
        <w:keepLines/>
      </w:pPr>
      <w:r>
        <w:t>About this section</w:t>
      </w:r>
    </w:p>
    <w:p>
      <w:pPr>
        <w:spacing w:after="120"/>
      </w:pPr>
      <w:r>
        <w:rPr/>
        <w:t xml:space="preserve">A scored set of Yes/No questions adapted from the Kamath &amp; Stothard clinical questionnaire. Positive items (night-time waking, median-nerve finger distribution, symptom provocation) add points. Discriminating items (little-finger symptoms, neck pain, toe numbness) subtract points, because they point to other conditions such as cervical radiculopathy or polyneuropathy.</w:t>
      </w:r>
    </w:p>
    <w:p>
      <w:pPr>
        <w:pStyle w:val="Heading3"/>
        <w:keepNext/>
        <w:keepLines/>
      </w:pPr>
      <w:r>
        <w:t>Workflow</w:t>
      </w:r>
    </w:p>
    <w:p>
      <w:pPr>
        <w:pStyle w:val="ListParagraph"/>
        <w:numPr>
          <w:ilvl w:val="0"/>
          <w:numId w:val="127"/>
        </w:numPr>
        <w:spacing w:before="0" w:after="60"/>
      </w:pPr>
      <w:r>
        <w:rPr/>
        <w:t xml:space="preserve">Participant opens the site. A short guided highlight (driver.js) points out how to answer.</w:t>
      </w:r>
    </w:p>
    <w:p>
      <w:pPr>
        <w:pStyle w:val="ListParagraph"/>
        <w:numPr>
          <w:ilvl w:val="0"/>
          <w:numId w:val="127"/>
        </w:numPr>
        <w:spacing w:before="0" w:after="60"/>
      </w:pPr>
      <w:r>
        <w:rPr/>
        <w:t xml:space="preserve">Q1 is a gateway: </w:t>
      </w:r>
      <w:r>
        <w:rPr>
          <w:i/>
        </w:rPr>
        <w:t xml:space="preserve">"Do you ever have numbness and tingling in your fingers?"</w:t>
      </w:r>
      <w:r>
        <w:rPr/>
        <w:t xml:space="preserve"> If </w:t>
      </w:r>
      <w:r>
        <w:rPr>
          <w:b/>
        </w:rPr>
        <w:t xml:space="preserve">No</w:t>
      </w:r>
      <w:r>
        <w:rPr/>
        <w:t xml:space="preserve">, Q1a–Q1f are hidden and not scored.</w:t>
      </w:r>
    </w:p>
    <w:p>
      <w:pPr>
        <w:pStyle w:val="ListParagraph"/>
        <w:numPr>
          <w:ilvl w:val="0"/>
          <w:numId w:val="127"/>
        </w:numPr>
        <w:spacing w:before="0" w:after="60"/>
      </w:pPr>
      <w:r>
        <w:rPr/>
        <w:t xml:space="preserve">Q7 is a second gateway: </w:t>
      </w:r>
      <w:r>
        <w:rPr>
          <w:i/>
        </w:rPr>
        <w:t xml:space="preserve">"Have you tried a wrist support brace / splint?"</w:t>
      </w:r>
      <w:r>
        <w:rPr/>
        <w:t xml:space="preserve"> Q7a (effectiveness) only appears if </w:t>
      </w:r>
      <w:r>
        <w:rPr>
          <w:b/>
        </w:rPr>
        <w:t xml:space="preserve">Yes</w:t>
      </w:r>
      <w:r>
        <w:rPr/>
        <w:t xml:space="preserve">.</w:t>
      </w:r>
    </w:p>
    <w:p>
      <w:pPr>
        <w:pStyle w:val="ListParagraph"/>
        <w:numPr>
          <w:ilvl w:val="0"/>
          <w:numId w:val="127"/>
        </w:numPr>
        <w:spacing w:before="0" w:after="60"/>
      </w:pPr>
      <w:r>
        <w:rPr/>
        <w:t xml:space="preserve">Q2 (pregnancy) also offers </w:t>
      </w:r>
      <w:r>
        <w:rPr>
          <w:b/>
        </w:rPr>
        <w:t xml:space="preserve">Not relevant</w:t>
      </w:r>
      <w:r>
        <w:rPr/>
        <w:t xml:space="preserve">.</w:t>
      </w:r>
    </w:p>
    <w:p>
      <w:pPr>
        <w:pStyle w:val="ListParagraph"/>
        <w:numPr>
          <w:ilvl w:val="0"/>
          <w:numId w:val="127"/>
        </w:numPr>
        <w:spacing w:before="0" w:after="60"/>
      </w:pPr>
      <w:r>
        <w:rPr/>
        <w:t xml:space="preserve">An ease-of-use rating (Very easy → Very difficult) and an optional comment box follow the last question.</w:t>
      </w:r>
    </w:p>
    <w:p>
      <w:pPr>
        <w:pStyle w:val="ListParagraph"/>
        <w:numPr>
          <w:ilvl w:val="0"/>
          <w:numId w:val="127"/>
        </w:numPr>
        <w:spacing w:before="0" w:after="60"/>
      </w:pPr>
      <w:r>
        <w:rPr>
          <w:b/>
        </w:rPr>
        <w:t xml:space="preserve">Next</w:t>
      </w:r>
      <w:r>
        <w:rPr/>
        <w:t xml:space="preserve"> checks that every visible question is answered; if not, unanswered items are highlighted and the page scrolls to the first one.</w:t>
      </w:r>
    </w:p>
    <w:p>
      <w:pPr>
        <w:keepNext/>
        <w:spacing w:before="120" w:after="60"/>
        <w:jc w:val="center"/>
      </w:pPr>
      <w:r>
        <w:drawing>
          <wp:inline>
            <wp:extent cx="4572000" cy="3740727"/>
            <wp:docPr id="1" name="Picture 1"/>
            <wp:cNvGraphicFramePr>
              <a:graphicFrameLocks noChangeAspect="1"/>
            </wp:cNvGraphicFramePr>
            <a:graphic>
              <a:graphicData uri="http://schemas.openxmlformats.org/drawingml/2006/picture">
                <pic:pic>
                  <pic:nvPicPr>
                    <pic:cNvPr id="0" name="figure01.png"/>
                    <pic:cNvPicPr/>
                  </pic:nvPicPr>
                  <pic:blipFill>
                    <a:blip r:embed="rId6"/>
                    <a:stretch>
                      <a:fillRect/>
                    </a:stretch>
                  </pic:blipFill>
                  <pic:spPr>
                    <a:xfrm>
                      <a:off x="0" y="0"/>
                      <a:ext cx="4572000" cy="3740727"/>
                    </a:xfrm>
                    <a:prstGeom prst="rect"/>
                  </pic:spPr>
                </pic:pic>
              </a:graphicData>
            </a:graphic>
          </wp:inline>
        </w:drawing>
      </w:r>
    </w:p>
    <w:p>
      <w:pPr>
        <w:spacing w:after="200"/>
        <w:jc w:val="center"/>
      </w:pPr>
      <w:r>
        <w:rPr>
          <w:b/>
          <w:i/>
          <w:sz w:val="18"/>
          <w:szCs w:val="18"/>
          <w:color w:val="555555"/>
        </w:rPr>
        <w:t xml:space="preserve">Figure 1. </w:t>
      </w:r>
      <w:r>
        <w:rPr>
          <w:i/>
          <w:sz w:val="18"/>
          <w:szCs w:val="18"/>
          <w:color w:val="555555"/>
        </w:rPr>
        <w:t xml:space="preserve">Diagnostic Questions. Answering Yes to Q1 reveals follow-ups 1a–1f.</w:t>
      </w:r>
    </w:p>
    <w:p>
      <w:pPr>
        <w:pStyle w:val="Heading3"/>
        <w:keepNext/>
        <w:keepLines/>
      </w:pPr>
      <w:r>
        <w:t>Scoring logic</w:t>
      </w:r>
    </w:p>
    <w:tbl>
      <w:tblPr>
        <w:tblW w:w="9360" w:type="dxa"/>
        <w:tblLayout w:type="fixed"/>
      </w:tblPr>
      <w:tblGrid>
        <w:gridCol w:w="928"/>
        <w:gridCol w:w="4094"/>
        <w:gridCol w:w="1348"/>
        <w:gridCol w:w="1348"/>
        <w:gridCol w:w="1640"/>
      </w:tblGrid>
      <w:tr>
        <w:trPr>
          <w:tblHeader/>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Question (short)</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Yes</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No</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Not relevant</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Numbness/tingling in fingers (gateway)</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not scored</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not scored</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1a</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Woken by tingling/numbness</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1b</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Tingling/numbness on first waking</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1c</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Mainly thumb, index and/or middle finger</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1d</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Quick movements/positions relieve it</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1e</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Little finger affected</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1f</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Activities increase it</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Symptoms during pregnancy</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+1</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−1</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0</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3</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Wrist pain</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4</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Drops small objects</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+1</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5</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Often has neck pain</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6</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Numbness/tingling in toes</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7</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Tried a wrist splint (gateway)</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not scored</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not scored</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w:t>
            </w:r>
          </w:p>
        </w:tc>
      </w:tr>
      <w:tr>
        <w:trPr>
          <w:cantSplit/>
        </w:trPr>
        <w:tc>
          <w:tcPr>
            <w:tcW w:type="dxa" w:w="928"/>
            <w:tcW w:w="92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7a</w:t>
            </w:r>
          </w:p>
        </w:tc>
        <w:tc>
          <w:tcPr>
            <w:tcW w:type="dxa" w:w="4094"/>
            <w:tcW w:w="409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Splint was effective</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w:t>
            </w:r>
          </w:p>
        </w:tc>
        <w:tc>
          <w:tcPr>
            <w:tcW w:type="dxa" w:w="1348"/>
            <w:tcW w:w="134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0</w:t>
            </w:r>
          </w:p>
        </w:tc>
        <w:tc>
          <w:tcPr>
            <w:tcW w:type="dxa" w:w="1640"/>
            <w:tcW w:w="16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w:t>
            </w:r>
          </w:p>
        </w:tc>
      </w:tr>
    </w:tbl>
    <w:p>
      <w:pPr>
        <w:spacing w:before="0" w:after="60"/>
      </w:pPr>
    </w:p>
    <w:tbl>
      <w:tblPr>
        <w:tblW w:w="9360" w:type="dxa"/>
        <w:tblLayout w:type="fixed"/>
      </w:tblPr>
      <w:tblGrid>
        <w:gridCol w:w="2696"/>
        <w:gridCol w:w="6663"/>
      </w:tblGrid>
      <w:tr>
        <w:trPr>
          <w:tblHeader/>
        </w:trPr>
        <w:tc>
          <w:tcPr>
            <w:tcW w:type="dxa" w:w="2696"/>
            <w:tcW w:w="2696"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Total score</w:t>
            </w:r>
          </w:p>
        </w:tc>
        <w:tc>
          <w:tcPr>
            <w:tcW w:type="dxa" w:w="6663"/>
            <w:tcW w:w="6663"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Classification shown</w:t>
            </w:r>
          </w:p>
        </w:tc>
      </w:tr>
      <w:tr>
        <w:trPr>
          <w:cantSplit/>
        </w:trPr>
        <w:tc>
          <w:tcPr>
            <w:tcW w:type="dxa" w:w="2696"/>
            <w:tcW w:w="269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2 or less</w:t>
            </w:r>
          </w:p>
        </w:tc>
        <w:tc>
          <w:tcPr>
            <w:tcW w:type="dxa" w:w="6663"/>
            <w:tcW w:w="666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Unlikely CTS</w:t>
            </w:r>
          </w:p>
        </w:tc>
      </w:tr>
      <w:tr>
        <w:trPr>
          <w:cantSplit/>
        </w:trPr>
        <w:tc>
          <w:tcPr>
            <w:tcW w:type="dxa" w:w="2696"/>
            <w:tcW w:w="269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3–4</w:t>
            </w:r>
          </w:p>
        </w:tc>
        <w:tc>
          <w:tcPr>
            <w:tcW w:type="dxa" w:w="6663"/>
            <w:tcW w:w="666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Possible CTS: Unclear</w:t>
            </w:r>
          </w:p>
        </w:tc>
      </w:tr>
      <w:tr>
        <w:trPr>
          <w:cantSplit/>
        </w:trPr>
        <w:tc>
          <w:tcPr>
            <w:tcW w:type="dxa" w:w="2696"/>
            <w:tcW w:w="269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5 or more</w:t>
            </w:r>
          </w:p>
        </w:tc>
        <w:tc>
          <w:tcPr>
            <w:tcW w:type="dxa" w:w="6663"/>
            <w:tcW w:w="666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Classic / Probable CTS</w:t>
            </w:r>
          </w:p>
        </w:tc>
      </w:tr>
    </w:tbl>
    <w:p>
      <w:pPr>
        <w:spacing w:before="0" w:after="60"/>
      </w:pPr>
    </w:p>
    <w:p>
      <w:pPr>
        <w:pStyle w:val="Heading3"/>
        <w:keepNext/>
        <w:keepLines/>
      </w:pPr>
      <w:r>
        <w:t>Where it lives in the code</w:t>
      </w:r>
    </w:p>
    <w:p>
      <w:pPr>
        <w:pStyle w:val="ListParagraph"/>
        <w:numPr>
          <w:ilvl w:val="0"/>
          <w:numId w:val="128"/>
        </w:numPr>
        <w:spacing w:before="0" w:after="60"/>
      </w:pPr>
      <w:r>
        <w:rPr/>
        <w:t xml:space="preserve">Questions, gateways and REDCap field names: </w:t>
      </w:r>
      <w:r>
        <w:rPr>
          <w:rFonts w:ascii="Consolas" w:hAnsi="Consolas" w:cs="Consolas"/>
          <w:color w:val="333333"/>
          <w:sz w:val="19"/>
          <w:szCs w:val="19"/>
        </w:rPr>
        <w:t xml:space="preserve">data/diagnosticQuestions.js</w:t>
      </w:r>
    </w:p>
    <w:p>
      <w:pPr>
        <w:pStyle w:val="ListParagraph"/>
        <w:numPr>
          <w:ilvl w:val="0"/>
          <w:numId w:val="128"/>
        </w:numPr>
        <w:spacing w:before="0" w:after="60"/>
      </w:pPr>
      <w:r>
        <w:rPr/>
        <w:t xml:space="preserve">Weights and classification bands: </w:t>
      </w:r>
      <w:r>
        <w:rPr>
          <w:rFonts w:ascii="Consolas" w:hAnsi="Consolas" w:cs="Consolas"/>
          <w:color w:val="333333"/>
          <w:sz w:val="19"/>
          <w:szCs w:val="19"/>
        </w:rPr>
        <w:t xml:space="preserve">lib/kamathScoring.js</w:t>
      </w:r>
      <w:r>
        <w:rPr/>
        <w:t xml:space="preserve"> (</w:t>
      </w:r>
      <w:r>
        <w:rPr>
          <w:rFonts w:ascii="Consolas" w:hAnsi="Consolas" w:cs="Consolas"/>
          <w:color w:val="333333"/>
          <w:sz w:val="19"/>
          <w:szCs w:val="19"/>
        </w:rPr>
        <w:t xml:space="preserve">kamathQuestionWeights</w:t>
      </w:r>
      <w:r>
        <w:rPr/>
        <w:t xml:space="preserve">, </w:t>
      </w:r>
      <w:r>
        <w:rPr>
          <w:rFonts w:ascii="Consolas" w:hAnsi="Consolas" w:cs="Consolas"/>
          <w:color w:val="333333"/>
          <w:sz w:val="19"/>
          <w:szCs w:val="19"/>
        </w:rPr>
        <w:t xml:space="preserve">KAMATH_BANDS</w:t>
      </w:r>
      <w:r>
        <w:rPr/>
        <w:t xml:space="preserve">)</w:t>
      </w:r>
    </w:p>
    <w:p>
      <w:pPr>
        <w:pStyle w:val="ListParagraph"/>
        <w:numPr>
          <w:ilvl w:val="0"/>
          <w:numId w:val="128"/>
        </w:numPr>
        <w:spacing w:before="0" w:after="60"/>
      </w:pPr>
      <w:r>
        <w:rPr/>
        <w:t xml:space="preserve">Page: </w:t>
      </w:r>
      <w:r>
        <w:rPr>
          <w:rFonts w:ascii="Consolas" w:hAnsi="Consolas" w:cs="Consolas"/>
          <w:color w:val="333333"/>
          <w:sz w:val="19"/>
          <w:szCs w:val="19"/>
        </w:rPr>
        <w:t xml:space="preserve">components/sections/DiagnosticQuestions.js</w:t>
      </w:r>
    </w:p>
    <w:p>
      <w:pPr>
        <w:pStyle w:val="ListParagraph"/>
        <w:numPr>
          <w:ilvl w:val="0"/>
          <w:numId w:val="128"/>
        </w:numPr>
        <w:spacing w:before="0" w:after="60"/>
      </w:pPr>
      <w:r>
        <w:rPr/>
        <w:t xml:space="preserve">Tests: </w:t>
      </w:r>
      <w:r>
        <w:rPr>
          <w:rFonts w:ascii="Consolas" w:hAnsi="Consolas" w:cs="Consolas"/>
          <w:color w:val="333333"/>
          <w:sz w:val="19"/>
          <w:szCs w:val="19"/>
        </w:rPr>
        <w:t xml:space="preserve">tests/kamathScoring.test.js</w:t>
      </w:r>
    </w:p>
    <w:p>
      <w:pPr>
        <w:pStyle w:val="Heading1"/>
        <w:keepNext/>
        <w:keepLines/>
      </w:pPr>
      <w:r>
        <w:t>3. Hand Diagrams (Katz-based)</w:t>
      </w:r>
    </w:p>
    <w:p>
      <w:pPr>
        <w:pStyle w:val="Heading3"/>
        <w:keepNext/>
        <w:keepLines/>
      </w:pPr>
      <w:r>
        <w:t>About this section</w:t>
      </w:r>
    </w:p>
    <w:p>
      <w:pPr>
        <w:spacing w:after="120"/>
      </w:pPr>
      <w:r>
        <w:rPr/>
        <w:t xml:space="preserve">The participant shades where they feel each symptom on outlines of the left and right hand, palm side and back side. The application measures how much of each anatomical zone is shaded and classifies the pattern against median-nerve territory, following the Katz hand diagram method.</w:t>
      </w:r>
    </w:p>
    <w:p>
      <w:pPr>
        <w:pStyle w:val="Heading3"/>
        <w:keepNext/>
        <w:keepLines/>
      </w:pPr>
      <w:r>
        <w:t>Workflow</w:t>
      </w:r>
    </w:p>
    <w:p>
      <w:pPr>
        <w:pStyle w:val="ListParagraph"/>
        <w:numPr>
          <w:ilvl w:val="0"/>
          <w:numId w:val="131"/>
        </w:numPr>
        <w:spacing w:before="0" w:after="60"/>
      </w:pPr>
      <w:r>
        <w:rPr/>
        <w:t xml:space="preserve">A step-by-step guided tour runs the first time the section opens; the </w:t>
      </w:r>
      <w:r>
        <w:rPr>
          <w:b/>
        </w:rPr>
        <w:t xml:space="preserve">?</w:t>
      </w:r>
      <w:r>
        <w:rPr/>
        <w:t xml:space="preserve"> button replays it.</w:t>
      </w:r>
    </w:p>
    <w:p>
      <w:pPr>
        <w:pStyle w:val="ListParagraph"/>
        <w:numPr>
          <w:ilvl w:val="0"/>
          <w:numId w:val="131"/>
        </w:numPr>
        <w:spacing w:before="0" w:after="60"/>
      </w:pPr>
      <w:r>
        <w:rPr/>
        <w:t xml:space="preserve">One block per symptom, each with four canvases (left/right × palm/back):</w:t>
      </w:r>
    </w:p>
    <w:p>
      <w:pPr>
        <w:pStyle w:val="ListParagraph"/>
        <w:numPr>
          <w:ilvl w:val="1"/>
          <w:numId w:val="130"/>
        </w:numPr>
        <w:spacing w:before="0" w:after="60"/>
      </w:pPr>
      <w:r>
        <w:rPr>
          <w:b/>
        </w:rPr>
        <w:t xml:space="preserve">Pain</w:t>
      </w:r>
      <w:r>
        <w:rPr/>
        <w:t xml:space="preserve"> (orange) — always shown.</w:t>
      </w:r>
    </w:p>
    <w:p>
      <w:pPr>
        <w:pStyle w:val="ListParagraph"/>
        <w:numPr>
          <w:ilvl w:val="1"/>
          <w:numId w:val="130"/>
        </w:numPr>
        <w:spacing w:before="0" w:after="60"/>
      </w:pPr>
      <w:r>
        <w:rPr>
          <w:b/>
        </w:rPr>
        <w:t xml:space="preserve">Tingling</w:t>
      </w:r>
      <w:r>
        <w:rPr/>
        <w:t xml:space="preserve"> (purple) and </w:t>
      </w:r>
      <w:r>
        <w:rPr>
          <w:b/>
        </w:rPr>
        <w:t xml:space="preserve">Numbness</w:t>
      </w:r>
      <w:r>
        <w:rPr/>
        <w:t xml:space="preserve"> (blue) — shown only if Q1 was answered </w:t>
      </w:r>
      <w:r>
        <w:rPr>
          <w:b/>
        </w:rPr>
        <w:t xml:space="preserve">Yes</w:t>
      </w:r>
      <w:r>
        <w:rPr/>
        <w:t xml:space="preserve">.</w:t>
      </w:r>
    </w:p>
    <w:p>
      <w:pPr>
        <w:pStyle w:val="ListParagraph"/>
        <w:numPr>
          <w:ilvl w:val="0"/>
          <w:numId w:val="131"/>
        </w:numPr>
        <w:spacing w:before="0" w:after="60"/>
      </w:pPr>
      <w:r>
        <w:rPr/>
        <w:t xml:space="preserve">The participant draws freehand with finger, stylus or mouse. Each canvas has a </w:t>
      </w:r>
      <w:r>
        <w:rPr>
          <w:b/>
        </w:rPr>
        <w:t xml:space="preserve">Clear</w:t>
      </w:r>
      <w:r>
        <w:rPr/>
        <w:t xml:space="preserve"> button.</w:t>
      </w:r>
    </w:p>
    <w:p>
      <w:pPr>
        <w:pStyle w:val="ListParagraph"/>
        <w:numPr>
          <w:ilvl w:val="0"/>
          <w:numId w:val="131"/>
        </w:numPr>
        <w:spacing w:before="0" w:after="60"/>
      </w:pPr>
      <w:r>
        <w:rPr/>
        <w:t xml:space="preserve">An ease-of-use rating and an optional comment box follow.</w:t>
      </w:r>
    </w:p>
    <w:p>
      <w:pPr>
        <w:pStyle w:val="ListParagraph"/>
        <w:numPr>
          <w:ilvl w:val="0"/>
          <w:numId w:val="131"/>
        </w:numPr>
        <w:spacing w:before="0" w:after="60"/>
      </w:pPr>
      <w:r>
        <w:rPr>
          <w:b/>
        </w:rPr>
        <w:t xml:space="preserve">Calculate CTS Scores</w:t>
      </w:r>
      <w:r>
        <w:rPr/>
        <w:t xml:space="preserve"> moves to Results. If nothing was drawn, a confirmation dialog asks whether to continue anyway.</w:t>
      </w:r>
    </w:p>
    <w:p>
      <w:pPr>
        <w:spacing w:after="120"/>
      </w:pPr>
      <w:r>
        <w:rPr/>
        <w:t xml:space="preserve">If the hand outline files fail to load, the section shows an error with a </w:t>
      </w:r>
      <w:r>
        <w:rPr>
          <w:b/>
        </w:rPr>
        <w:t xml:space="preserve">Try again</w:t>
      </w:r>
      <w:r>
        <w:rPr/>
        <w:t xml:space="preserve"> button, and scoring is blocked until they load.</w:t>
      </w:r>
    </w:p>
    <w:p>
      <w:pPr>
        <w:keepNext/>
        <w:spacing w:before="120" w:after="60"/>
        <w:jc w:val="center"/>
      </w:pPr>
      <w:r>
        <w:drawing>
          <wp:inline>
            <wp:extent cx="4572000" cy="3740727"/>
            <wp:docPr id="2" name="Picture 2"/>
            <wp:cNvGraphicFramePr>
              <a:graphicFrameLocks noChangeAspect="1"/>
            </wp:cNvGraphicFramePr>
            <a:graphic>
              <a:graphicData uri="http://schemas.openxmlformats.org/drawingml/2006/picture">
                <pic:pic>
                  <pic:nvPicPr>
                    <pic:cNvPr id="0" name="figure02.png"/>
                    <pic:cNvPicPr/>
                  </pic:nvPicPr>
                  <pic:blipFill>
                    <a:blip r:embed="rId7"/>
                    <a:stretch>
                      <a:fillRect/>
                    </a:stretch>
                  </pic:blipFill>
                  <pic:spPr>
                    <a:xfrm>
                      <a:off x="0" y="0"/>
                      <a:ext cx="4572000" cy="3740727"/>
                    </a:xfrm>
                    <a:prstGeom prst="rect"/>
                  </pic:spPr>
                </pic:pic>
              </a:graphicData>
            </a:graphic>
          </wp:inline>
        </w:drawing>
      </w:r>
    </w:p>
    <w:p>
      <w:pPr>
        <w:spacing w:after="200"/>
        <w:jc w:val="center"/>
      </w:pPr>
      <w:r>
        <w:rPr>
          <w:b/>
          <w:i/>
          <w:sz w:val="18"/>
          <w:szCs w:val="18"/>
          <w:color w:val="555555"/>
        </w:rPr>
        <w:t xml:space="preserve">Figure 2. </w:t>
      </w:r>
      <w:r>
        <w:rPr>
          <w:i/>
          <w:sz w:val="18"/>
          <w:szCs w:val="18"/>
          <w:color w:val="555555"/>
        </w:rPr>
        <w:t xml:space="preserve">The guided tour that opens with the Hand Diagrams section.</w:t>
      </w:r>
    </w:p>
    <w:p>
      <w:pPr>
        <w:keepNext/>
        <w:spacing w:before="120" w:after="60"/>
        <w:jc w:val="center"/>
      </w:pPr>
      <w:r>
        <w:drawing>
          <wp:inline>
            <wp:extent cx="4572000" cy="3740727"/>
            <wp:docPr id="3" name="Picture 3"/>
            <wp:cNvGraphicFramePr>
              <a:graphicFrameLocks noChangeAspect="1"/>
            </wp:cNvGraphicFramePr>
            <a:graphic>
              <a:graphicData uri="http://schemas.openxmlformats.org/drawingml/2006/picture">
                <pic:pic>
                  <pic:nvPicPr>
                    <pic:cNvPr id="0" name="figure03.png"/>
                    <pic:cNvPicPr/>
                  </pic:nvPicPr>
                  <pic:blipFill>
                    <a:blip r:embed="rId8"/>
                    <a:stretch>
                      <a:fillRect/>
                    </a:stretch>
                  </pic:blipFill>
                  <pic:spPr>
                    <a:xfrm>
                      <a:off x="0" y="0"/>
                      <a:ext cx="4572000" cy="3740727"/>
                    </a:xfrm>
                    <a:prstGeom prst="rect"/>
                  </pic:spPr>
                </pic:pic>
              </a:graphicData>
            </a:graphic>
          </wp:inline>
        </w:drawing>
      </w:r>
    </w:p>
    <w:p>
      <w:pPr>
        <w:spacing w:after="200"/>
        <w:jc w:val="center"/>
      </w:pPr>
      <w:r>
        <w:rPr>
          <w:b/>
          <w:i/>
          <w:sz w:val="18"/>
          <w:szCs w:val="18"/>
          <w:color w:val="555555"/>
        </w:rPr>
        <w:t xml:space="preserve">Figure 3. </w:t>
      </w:r>
      <w:r>
        <w:rPr>
          <w:i/>
          <w:sz w:val="18"/>
          <w:szCs w:val="18"/>
          <w:color w:val="555555"/>
        </w:rPr>
        <w:t xml:space="preserve">Tingling marked on the median-nerve fingertips of both palms (sample data).</w:t>
      </w:r>
    </w:p>
    <w:p>
      <w:pPr>
        <w:pStyle w:val="Heading3"/>
        <w:keepNext/>
        <w:keepLines/>
      </w:pPr>
      <w:r>
        <w:t>Scoring logic</w:t>
      </w:r>
    </w:p>
    <w:p>
      <w:pPr>
        <w:spacing w:after="120"/>
      </w:pPr>
      <w:r>
        <w:rPr/>
        <w:t xml:space="preserve">Each hand outline is an SVG whose named regions (</w:t>
      </w:r>
      <w:r>
        <w:rPr>
          <w:rFonts w:ascii="Consolas" w:hAnsi="Consolas" w:cs="Consolas"/>
          <w:color w:val="333333"/>
          <w:sz w:val="19"/>
          <w:szCs w:val="19"/>
        </w:rPr>
        <w:t xml:space="preserve">thumb_distal</w:t>
      </w:r>
      <w:r>
        <w:rPr/>
        <w:t xml:space="preserve">, </w:t>
      </w:r>
      <w:r>
        <w:rPr>
          <w:rFonts w:ascii="Consolas" w:hAnsi="Consolas" w:cs="Consolas"/>
          <w:color w:val="333333"/>
          <w:sz w:val="19"/>
          <w:szCs w:val="19"/>
        </w:rPr>
        <w:t xml:space="preserve">index_middle</w:t>
      </w:r>
      <w:r>
        <w:rPr/>
        <w:t xml:space="preserve">, </w:t>
      </w:r>
      <w:r>
        <w:rPr>
          <w:rFonts w:ascii="Consolas" w:hAnsi="Consolas" w:cs="Consolas"/>
          <w:color w:val="333333"/>
          <w:sz w:val="19"/>
          <w:szCs w:val="19"/>
        </w:rPr>
        <w:t xml:space="preserve">palm_radial</w:t>
      </w:r>
      <w:r>
        <w:rPr/>
        <w:t xml:space="preserve">, </w:t>
      </w:r>
      <w:r>
        <w:rPr>
          <w:rFonts w:ascii="Consolas" w:hAnsi="Consolas" w:cs="Consolas"/>
          <w:color w:val="333333"/>
          <w:sz w:val="19"/>
          <w:szCs w:val="19"/>
        </w:rPr>
        <w:t xml:space="preserve">dorsum</w:t>
      </w:r>
      <w:r>
        <w:rPr/>
        <w:t xml:space="preserve"> and so on) are used as pixel masks. For each region the application computes the percentage of pixels covered, per symptom and for all symptoms combined (the union, not the sum, as strokes overlap).</w:t>
      </w:r>
    </w:p>
    <w:p>
      <w:pPr>
        <w:spacing w:after="120"/>
      </w:pPr>
      <w:r>
        <w:rPr/>
        <w:t xml:space="preserve">A digit counts as affected when:</w:t>
      </w:r>
    </w:p>
    <w:p>
      <w:pPr>
        <w:pStyle w:val="ListParagraph"/>
        <w:numPr>
          <w:ilvl w:val="0"/>
          <w:numId w:val="132"/>
        </w:numPr>
        <w:spacing w:before="0" w:after="60"/>
      </w:pPr>
      <w:r>
        <w:rPr>
          <w:b/>
        </w:rPr>
        <w:t xml:space="preserve">Thumb:</w:t>
      </w:r>
      <w:r>
        <w:rPr/>
        <w:t xml:space="preserve"> distal segment coverage &gt; 5%</w:t>
      </w:r>
    </w:p>
    <w:p>
      <w:pPr>
        <w:pStyle w:val="ListParagraph"/>
        <w:numPr>
          <w:ilvl w:val="0"/>
          <w:numId w:val="132"/>
        </w:numPr>
        <w:spacing w:before="0" w:after="60"/>
      </w:pPr>
      <w:r>
        <w:rPr>
          <w:b/>
        </w:rPr>
        <w:t xml:space="preserve">Index / Middle:</w:t>
      </w:r>
      <w:r>
        <w:rPr/>
        <w:t xml:space="preserve"> distal segment &gt; 5%, </w:t>
      </w:r>
      <w:r>
        <w:rPr>
          <w:b/>
        </w:rPr>
        <w:t xml:space="preserve">or</w:t>
      </w:r>
      <w:r>
        <w:rPr/>
        <w:t xml:space="preserve"> middle segment ≥ 50%</w:t>
      </w:r>
    </w:p>
    <w:p>
      <w:pPr>
        <w:spacing w:after="120"/>
      </w:pPr>
      <w:r>
        <w:rPr/>
        <w:t xml:space="preserve">Palm (radial, ulnar), wrist and dorsum count as affected above 5%. Each hand is then classified on its own:</w:t>
      </w:r>
    </w:p>
    <w:tbl>
      <w:tblPr>
        <w:tblW w:w="9360" w:type="dxa"/>
        <w:tblLayout w:type="fixed"/>
      </w:tblPr>
      <w:tblGrid>
        <w:gridCol w:w="1118"/>
        <w:gridCol w:w="3098"/>
        <w:gridCol w:w="5142"/>
      </w:tblGrid>
      <w:tr>
        <w:trPr>
          <w:tblHeader/>
        </w:trPr>
        <w:tc>
          <w:tcPr>
            <w:tcW w:type="dxa" w:w="1118"/>
            <w:tcW w:w="1118"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Katz score</w:t>
            </w:r>
          </w:p>
        </w:tc>
        <w:tc>
          <w:tcPr>
            <w:tcW w:type="dxa" w:w="3098"/>
            <w:tcW w:w="3098"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Classification</w:t>
            </w:r>
          </w:p>
        </w:tc>
        <w:tc>
          <w:tcPr>
            <w:tcW w:type="dxa" w:w="5142"/>
            <w:tcW w:w="5142"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Rule</w:t>
            </w:r>
          </w:p>
        </w:tc>
      </w:tr>
      <w:tr>
        <w:trPr>
          <w:cantSplit/>
        </w:trPr>
        <w:tc>
          <w:tcPr>
            <w:tcW w:type="dxa" w:w="1118"/>
            <w:tcW w:w="111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3</w:t>
            </w:r>
          </w:p>
        </w:tc>
        <w:tc>
          <w:tcPr>
            <w:tcW w:type="dxa" w:w="3098"/>
            <w:tcW w:w="309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Classic CTS Symptom Distribution</w:t>
            </w:r>
          </w:p>
        </w:tc>
        <w:tc>
          <w:tcPr>
            <w:tcW w:type="dxa" w:w="5142"/>
            <w:tcW w:w="5142"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 2 of thumb/index/middle affected; no palm; no dorsum</w:t>
            </w:r>
          </w:p>
        </w:tc>
      </w:tr>
      <w:tr>
        <w:trPr>
          <w:cantSplit/>
        </w:trPr>
        <w:tc>
          <w:tcPr>
            <w:tcW w:type="dxa" w:w="1118"/>
            <w:tcW w:w="111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w:t>
            </w:r>
          </w:p>
        </w:tc>
        <w:tc>
          <w:tcPr>
            <w:tcW w:type="dxa" w:w="3098"/>
            <w:tcW w:w="309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Probable CTS Symptom Distribution</w:t>
            </w:r>
          </w:p>
        </w:tc>
        <w:tc>
          <w:tcPr>
            <w:tcW w:type="dxa" w:w="5142"/>
            <w:tcW w:w="5142"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 2 digits affected; palm involved but not confined to the ulnar side; no dorsum</w:t>
            </w:r>
          </w:p>
        </w:tc>
      </w:tr>
      <w:tr>
        <w:trPr>
          <w:cantSplit/>
        </w:trPr>
        <w:tc>
          <w:tcPr>
            <w:tcW w:type="dxa" w:w="1118"/>
            <w:tcW w:w="111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w:t>
            </w:r>
          </w:p>
        </w:tc>
        <w:tc>
          <w:tcPr>
            <w:tcW w:type="dxa" w:w="3098"/>
            <w:tcW w:w="3098"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Possible CTS Symptom Distribution</w:t>
            </w:r>
          </w:p>
        </w:tc>
        <w:tc>
          <w:tcPr>
            <w:tcW w:type="dxa" w:w="5142"/>
            <w:tcW w:w="5142"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 1 digit affected (may include dorsum, ulnar-only palm, or only one digit)</w:t>
            </w:r>
          </w:p>
        </w:tc>
      </w:tr>
      <w:tr>
        <w:trPr>
          <w:cantSplit/>
        </w:trPr>
        <w:tc>
          <w:tcPr>
            <w:tcW w:type="dxa" w:w="1118"/>
            <w:tcW w:w="111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0</w:t>
            </w:r>
          </w:p>
        </w:tc>
        <w:tc>
          <w:tcPr>
            <w:tcW w:type="dxa" w:w="3098"/>
            <w:tcW w:w="3098"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Unlikely CTS</w:t>
            </w:r>
          </w:p>
        </w:tc>
        <w:tc>
          <w:tcPr>
            <w:tcW w:type="dxa" w:w="5142"/>
            <w:tcW w:w="5142"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No shading on thumb, index or middle</w:t>
            </w:r>
          </w:p>
        </w:tc>
      </w:tr>
    </w:tbl>
    <w:p>
      <w:pPr>
        <w:spacing w:before="0" w:after="60"/>
      </w:pPr>
    </w:p>
    <w:p>
      <w:pPr>
        <w:pStyle w:val="Heading3"/>
        <w:keepNext/>
        <w:keepLines/>
      </w:pPr>
      <w:r>
        <w:t>Where it lives in the code</w:t>
      </w:r>
    </w:p>
    <w:p>
      <w:pPr>
        <w:pStyle w:val="ListParagraph"/>
        <w:numPr>
          <w:ilvl w:val="0"/>
          <w:numId w:val="134"/>
        </w:numPr>
        <w:spacing w:before="0" w:after="60"/>
      </w:pPr>
      <w:r>
        <w:rPr/>
        <w:t xml:space="preserve">Hand outlines and region masks: </w:t>
      </w:r>
      <w:r>
        <w:rPr>
          <w:rFonts w:ascii="Consolas" w:hAnsi="Consolas" w:cs="Consolas"/>
          <w:color w:val="333333"/>
          <w:sz w:val="19"/>
          <w:szCs w:val="19"/>
        </w:rPr>
        <w:t xml:space="preserve">public/hands/*.svg</w:t>
      </w:r>
      <w:r>
        <w:rPr/>
        <w:t xml:space="preserve"> (region names are the SVG </w:t>
      </w:r>
      <w:r>
        <w:rPr>
          <w:rFonts w:ascii="Consolas" w:hAnsi="Consolas" w:cs="Consolas"/>
          <w:color w:val="333333"/>
          <w:sz w:val="19"/>
          <w:szCs w:val="19"/>
        </w:rPr>
        <w:t xml:space="preserve">inkscape:label</w:t>
      </w:r>
      <w:r>
        <w:rPr/>
        <w:t xml:space="preserve"> values)</w:t>
      </w:r>
    </w:p>
    <w:p>
      <w:pPr>
        <w:pStyle w:val="ListParagraph"/>
        <w:numPr>
          <w:ilvl w:val="0"/>
          <w:numId w:val="134"/>
        </w:numPr>
        <w:spacing w:before="0" w:after="60"/>
      </w:pPr>
      <w:r>
        <w:rPr/>
        <w:t xml:space="preserve">Thresholds (5% and 50%), colours, canvas size: </w:t>
      </w:r>
      <w:r>
        <w:rPr>
          <w:rFonts w:ascii="Consolas" w:hAnsi="Consolas" w:cs="Consolas"/>
          <w:color w:val="333333"/>
          <w:sz w:val="19"/>
          <w:szCs w:val="19"/>
        </w:rPr>
        <w:t xml:space="preserve">data/constants.js</w:t>
      </w:r>
    </w:p>
    <w:p>
      <w:pPr>
        <w:pStyle w:val="ListParagraph"/>
        <w:numPr>
          <w:ilvl w:val="0"/>
          <w:numId w:val="134"/>
        </w:numPr>
        <w:spacing w:before="0" w:after="60"/>
      </w:pPr>
      <w:r>
        <w:rPr/>
        <w:t xml:space="preserve">Region list used for display and REDCap field names: </w:t>
      </w:r>
      <w:r>
        <w:rPr>
          <w:rFonts w:ascii="Consolas" w:hAnsi="Consolas" w:cs="Consolas"/>
          <w:color w:val="333333"/>
          <w:sz w:val="19"/>
          <w:szCs w:val="19"/>
        </w:rPr>
        <w:t xml:space="preserve">KATZ_REGIONS</w:t>
      </w:r>
      <w:r>
        <w:rPr/>
        <w:t xml:space="preserve"> in </w:t>
      </w:r>
      <w:r>
        <w:rPr>
          <w:rFonts w:ascii="Consolas" w:hAnsi="Consolas" w:cs="Consolas"/>
          <w:color w:val="333333"/>
          <w:sz w:val="19"/>
          <w:szCs w:val="19"/>
        </w:rPr>
        <w:t xml:space="preserve">data/constants.js</w:t>
      </w:r>
    </w:p>
    <w:p>
      <w:pPr>
        <w:pStyle w:val="ListParagraph"/>
        <w:numPr>
          <w:ilvl w:val="0"/>
          <w:numId w:val="134"/>
        </w:numPr>
        <w:spacing w:before="0" w:after="60"/>
      </w:pPr>
      <w:r>
        <w:rPr/>
        <w:t xml:space="preserve">Coverage and classification: </w:t>
      </w:r>
      <w:r>
        <w:rPr>
          <w:rFonts w:ascii="Consolas" w:hAnsi="Consolas" w:cs="Consolas"/>
          <w:color w:val="333333"/>
          <w:sz w:val="19"/>
          <w:szCs w:val="19"/>
        </w:rPr>
        <w:t xml:space="preserve">lib/katzScoring.js</w:t>
      </w:r>
    </w:p>
    <w:p>
      <w:pPr>
        <w:pStyle w:val="ListParagraph"/>
        <w:numPr>
          <w:ilvl w:val="0"/>
          <w:numId w:val="134"/>
        </w:numPr>
        <w:spacing w:before="0" w:after="60"/>
      </w:pPr>
      <w:r>
        <w:rPr/>
        <w:t xml:space="preserve">Drawing and SVG loading: </w:t>
      </w:r>
      <w:r>
        <w:rPr>
          <w:rFonts w:ascii="Consolas" w:hAnsi="Consolas" w:cs="Consolas"/>
          <w:color w:val="333333"/>
          <w:sz w:val="19"/>
          <w:szCs w:val="19"/>
        </w:rPr>
        <w:t xml:space="preserve">hooks/useCanvasDrawing.js</w:t>
      </w:r>
      <w:r>
        <w:rPr/>
        <w:t xml:space="preserve">, </w:t>
      </w:r>
      <w:r>
        <w:rPr>
          <w:rFonts w:ascii="Consolas" w:hAnsi="Consolas" w:cs="Consolas"/>
          <w:color w:val="333333"/>
          <w:sz w:val="19"/>
          <w:szCs w:val="19"/>
        </w:rPr>
        <w:t xml:space="preserve">lib/canvasUtils.js</w:t>
      </w:r>
    </w:p>
    <w:p>
      <w:pPr>
        <w:pStyle w:val="ListParagraph"/>
        <w:numPr>
          <w:ilvl w:val="0"/>
          <w:numId w:val="134"/>
        </w:numPr>
        <w:spacing w:before="0" w:after="60"/>
      </w:pPr>
      <w:r>
        <w:rPr/>
        <w:t xml:space="preserve">Page: </w:t>
      </w:r>
      <w:r>
        <w:rPr>
          <w:rFonts w:ascii="Consolas" w:hAnsi="Consolas" w:cs="Consolas"/>
          <w:color w:val="333333"/>
          <w:sz w:val="19"/>
          <w:szCs w:val="19"/>
        </w:rPr>
        <w:t xml:space="preserve">components/sections/HandDiagrams.js</w:t>
      </w:r>
      <w:r>
        <w:rPr/>
        <w:t xml:space="preserve">, </w:t>
      </w:r>
      <w:r>
        <w:rPr>
          <w:rFonts w:ascii="Consolas" w:hAnsi="Consolas" w:cs="Consolas"/>
          <w:color w:val="333333"/>
          <w:sz w:val="19"/>
          <w:szCs w:val="19"/>
        </w:rPr>
        <w:t xml:space="preserve">components/HandDiagramCanvas.js</w:t>
      </w:r>
    </w:p>
    <w:p>
      <w:pPr>
        <w:pStyle w:val="ListParagraph"/>
        <w:numPr>
          <w:ilvl w:val="0"/>
          <w:numId w:val="134"/>
        </w:numPr>
        <w:spacing w:before="0" w:after="60"/>
      </w:pPr>
      <w:r>
        <w:rPr/>
        <w:t xml:space="preserve">Tour steps: </w:t>
      </w:r>
      <w:r>
        <w:rPr>
          <w:rFonts w:ascii="Consolas" w:hAnsi="Consolas" w:cs="Consolas"/>
          <w:color w:val="333333"/>
          <w:sz w:val="19"/>
          <w:szCs w:val="19"/>
        </w:rPr>
        <w:t xml:space="preserve">lib/tourConfig.js</w:t>
      </w:r>
    </w:p>
    <w:p>
      <w:pPr>
        <w:pStyle w:val="ListParagraph"/>
        <w:numPr>
          <w:ilvl w:val="0"/>
          <w:numId w:val="134"/>
        </w:numPr>
        <w:spacing w:before="0" w:after="60"/>
      </w:pPr>
      <w:r>
        <w:rPr/>
        <w:t xml:space="preserve">Tests: </w:t>
      </w:r>
      <w:r>
        <w:rPr>
          <w:rFonts w:ascii="Consolas" w:hAnsi="Consolas" w:cs="Consolas"/>
          <w:color w:val="333333"/>
          <w:sz w:val="19"/>
          <w:szCs w:val="19"/>
        </w:rPr>
        <w:t xml:space="preserve">tests/katzScoring.test.js</w:t>
      </w:r>
      <w:r>
        <w:rPr/>
        <w:t xml:space="preserve">, </w:t>
      </w:r>
      <w:r>
        <w:rPr>
          <w:rFonts w:ascii="Consolas" w:hAnsi="Consolas" w:cs="Consolas"/>
          <w:color w:val="333333"/>
          <w:sz w:val="19"/>
          <w:szCs w:val="19"/>
        </w:rPr>
        <w:t xml:space="preserve">tests/deriveSymptomFlags.test.js</w:t>
      </w:r>
      <w:r>
        <w:rPr/>
        <w:t xml:space="preserve"> (the pixel-coverage functions need a real canvas and are verified manually)</w:t>
      </w:r>
    </w:p>
    <w:p>
      <w:pPr>
        <w:pStyle w:val="Heading1"/>
        <w:keepNext/>
        <w:keepLines/>
      </w:pPr>
      <w:r>
        <w:t>4. Results &amp; export</w:t>
      </w:r>
    </w:p>
    <w:p>
      <w:pPr>
        <w:pStyle w:val="Heading3"/>
        <w:keepNext/>
        <w:keepLines/>
      </w:pPr>
      <w:r>
        <w:t>Workflow</w:t>
      </w:r>
    </w:p>
    <w:p>
      <w:pPr>
        <w:pStyle w:val="ListParagraph"/>
        <w:numPr>
          <w:ilvl w:val="0"/>
          <w:numId w:val="137"/>
        </w:numPr>
        <w:spacing w:before="0" w:after="60"/>
      </w:pPr>
      <w:r>
        <w:rPr/>
        <w:t xml:space="preserve">On arriving at Results, a dialog asks the user to choose </w:t>
      </w:r>
      <w:r>
        <w:rPr>
          <w:b/>
        </w:rPr>
        <w:t xml:space="preserve">I'm a Patient</w:t>
      </w:r>
      <w:r>
        <w:rPr/>
        <w:t xml:space="preserve"> or </w:t>
      </w:r>
      <w:r>
        <w:rPr>
          <w:b/>
        </w:rPr>
        <w:t xml:space="preserve">I'm a Healthcare Professional</w:t>
      </w:r>
      <w:r>
        <w:rPr/>
        <w:t xml:space="preserve">. It cannot be dismissed without a choice.</w:t>
      </w:r>
    </w:p>
    <w:p>
      <w:pPr>
        <w:pStyle w:val="ListParagraph"/>
        <w:numPr>
          <w:ilvl w:val="0"/>
          <w:numId w:val="137"/>
        </w:numPr>
        <w:spacing w:before="0" w:after="60"/>
      </w:pPr>
      <w:r>
        <w:rPr/>
        <w:t xml:space="preserve">A screening disclaimer is always shown at the top.</w:t>
      </w:r>
    </w:p>
    <w:p>
      <w:pPr>
        <w:pStyle w:val="ListParagraph"/>
        <w:numPr>
          <w:ilvl w:val="0"/>
          <w:numId w:val="137"/>
        </w:numPr>
        <w:spacing w:before="0" w:after="60"/>
      </w:pPr>
      <w:r>
        <w:rPr/>
        <w:t xml:space="preserve">The Kamath-based card and one Katz-based card per hand follow, with the combined drawings for that hand (palm and back).</w:t>
      </w:r>
    </w:p>
    <w:p>
      <w:pPr>
        <w:pStyle w:val="ListParagraph"/>
        <w:numPr>
          <w:ilvl w:val="0"/>
          <w:numId w:val="137"/>
        </w:numPr>
        <w:spacing w:before="0" w:after="60"/>
      </w:pPr>
      <w:r>
        <w:rPr>
          <w:b/>
        </w:rPr>
        <w:t xml:space="preserve">Print Results</w:t>
      </w:r>
      <w:r>
        <w:rPr/>
        <w:t xml:space="preserve"> and </w:t>
      </w:r>
      <w:r>
        <w:rPr>
          <w:b/>
        </w:rPr>
        <w:t xml:space="preserve">Download Results (CSV)</w:t>
      </w:r>
      <w:r>
        <w:rPr/>
        <w:t xml:space="preserve"> sit at the bottom of the page.</w:t>
      </w:r>
    </w:p>
    <w:p>
      <w:pPr>
        <w:pStyle w:val="ListParagraph"/>
        <w:numPr>
          <w:ilvl w:val="0"/>
          <w:numId w:val="137"/>
        </w:numPr>
        <w:spacing w:before="0" w:after="60"/>
      </w:pPr>
      <w:r>
        <w:rPr/>
        <w:t xml:space="preserve">In study (REDCap) mode, a banner at the top reports the submission status (Section 5).</w:t>
      </w:r>
    </w:p>
    <w:p>
      <w:pPr>
        <w:keepNext/>
        <w:spacing w:before="120" w:after="60"/>
        <w:jc w:val="center"/>
      </w:pPr>
      <w:r>
        <w:drawing>
          <wp:inline>
            <wp:extent cx="4572000" cy="3740727"/>
            <wp:docPr id="4" name="Picture 4"/>
            <wp:cNvGraphicFramePr>
              <a:graphicFrameLocks noChangeAspect="1"/>
            </wp:cNvGraphicFramePr>
            <a:graphic>
              <a:graphicData uri="http://schemas.openxmlformats.org/drawingml/2006/picture">
                <pic:pic>
                  <pic:nvPicPr>
                    <pic:cNvPr id="0" name="figure04.png"/>
                    <pic:cNvPicPr/>
                  </pic:nvPicPr>
                  <pic:blipFill>
                    <a:blip r:embed="rId9"/>
                    <a:stretch>
                      <a:fillRect/>
                    </a:stretch>
                  </pic:blipFill>
                  <pic:spPr>
                    <a:xfrm>
                      <a:off x="0" y="0"/>
                      <a:ext cx="4572000" cy="3740727"/>
                    </a:xfrm>
                    <a:prstGeom prst="rect"/>
                  </pic:spPr>
                </pic:pic>
              </a:graphicData>
            </a:graphic>
          </wp:inline>
        </w:drawing>
      </w:r>
    </w:p>
    <w:p>
      <w:pPr>
        <w:spacing w:after="200"/>
        <w:jc w:val="center"/>
      </w:pPr>
      <w:r>
        <w:rPr>
          <w:b/>
          <w:i/>
          <w:sz w:val="18"/>
          <w:szCs w:val="18"/>
          <w:color w:val="555555"/>
        </w:rPr>
        <w:t xml:space="preserve">Figure 4. </w:t>
      </w:r>
      <w:r>
        <w:rPr>
          <w:i/>
          <w:sz w:val="18"/>
          <w:szCs w:val="18"/>
          <w:color w:val="555555"/>
        </w:rPr>
        <w:t xml:space="preserve">Role choice shown on arriving at Results.</w:t>
      </w:r>
    </w:p>
    <w:p>
      <w:pPr>
        <w:pStyle w:val="Heading3"/>
        <w:keepNext/>
        <w:keepLines/>
      </w:pPr>
      <w:r>
        <w:t>What is shown to whom</w:t>
      </w:r>
    </w:p>
    <w:tbl>
      <w:tblPr>
        <w:tblW w:w="9360" w:type="dxa"/>
        <w:tblLayout w:type="fixed"/>
      </w:tblPr>
      <w:tblGrid>
        <w:gridCol w:w="5355"/>
        <w:gridCol w:w="1464"/>
        <w:gridCol w:w="2540"/>
      </w:tblGrid>
      <w:tr>
        <w:trPr>
          <w:tblHeader/>
        </w:trPr>
        <w:tc>
          <w:tcPr>
            <w:tcW w:type="dxa" w:w="5355"/>
            <w:tcW w:w="5355"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Shown on results page</w:t>
            </w:r>
          </w:p>
        </w:tc>
        <w:tc>
          <w:tcPr>
            <w:tcW w:type="dxa" w:w="1464"/>
            <w:tcW w:w="1464"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Patient</w:t>
            </w:r>
          </w:p>
        </w:tc>
        <w:tc>
          <w:tcPr>
            <w:tcW w:type="dxa" w:w="2540"/>
            <w:tcW w:w="2540"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Healthcare professional</w:t>
            </w:r>
          </w:p>
        </w:tc>
      </w:tr>
      <w:tr>
        <w:trPr>
          <w:cantSplit/>
        </w:trPr>
        <w:tc>
          <w:tcPr>
            <w:tcW w:type="dxa" w:w="5355"/>
            <w:tcW w:w="5355"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Kamath-based classification and description</w:t>
            </w:r>
          </w:p>
        </w:tc>
        <w:tc>
          <w:tcPr>
            <w:tcW w:type="dxa" w:w="1464"/>
            <w:tcW w:w="146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Yes</w:t>
            </w:r>
          </w:p>
        </w:tc>
        <w:tc>
          <w:tcPr>
            <w:tcW w:type="dxa" w:w="2540"/>
            <w:tcW w:w="25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Yes</w:t>
            </w:r>
          </w:p>
        </w:tc>
      </w:tr>
      <w:tr>
        <w:trPr>
          <w:cantSplit/>
        </w:trPr>
        <w:tc>
          <w:tcPr>
            <w:tcW w:type="dxa" w:w="5355"/>
            <w:tcW w:w="5355"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Kamath total points and band legend</w:t>
            </w:r>
          </w:p>
        </w:tc>
        <w:tc>
          <w:tcPr>
            <w:tcW w:type="dxa" w:w="1464"/>
            <w:tcW w:w="146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No</w:t>
            </w:r>
          </w:p>
        </w:tc>
        <w:tc>
          <w:tcPr>
            <w:tcW w:type="dxa" w:w="2540"/>
            <w:tcW w:w="25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Yes</w:t>
            </w:r>
          </w:p>
        </w:tc>
      </w:tr>
      <w:tr>
        <w:trPr>
          <w:cantSplit/>
        </w:trPr>
        <w:tc>
          <w:tcPr>
            <w:tcW w:type="dxa" w:w="5355"/>
            <w:tcW w:w="5355"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Kamath score breakdown (question, answer, points)</w:t>
            </w:r>
          </w:p>
        </w:tc>
        <w:tc>
          <w:tcPr>
            <w:tcW w:type="dxa" w:w="1464"/>
            <w:tcW w:w="146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No</w:t>
            </w:r>
          </w:p>
        </w:tc>
        <w:tc>
          <w:tcPr>
            <w:tcW w:type="dxa" w:w="2540"/>
            <w:tcW w:w="25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Yes</w:t>
            </w:r>
          </w:p>
        </w:tc>
      </w:tr>
      <w:tr>
        <w:trPr>
          <w:cantSplit/>
        </w:trPr>
        <w:tc>
          <w:tcPr>
            <w:tcW w:type="dxa" w:w="5355"/>
            <w:tcW w:w="5355"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Katz classification per hand + combined drawings</w:t>
            </w:r>
          </w:p>
        </w:tc>
        <w:tc>
          <w:tcPr>
            <w:tcW w:type="dxa" w:w="1464"/>
            <w:tcW w:w="146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Yes</w:t>
            </w:r>
          </w:p>
        </w:tc>
        <w:tc>
          <w:tcPr>
            <w:tcW w:type="dxa" w:w="2540"/>
            <w:tcW w:w="25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Yes</w:t>
            </w:r>
          </w:p>
        </w:tc>
      </w:tr>
      <w:tr>
        <w:trPr>
          <w:cantSplit/>
        </w:trPr>
        <w:tc>
          <w:tcPr>
            <w:tcW w:type="dxa" w:w="5355"/>
            <w:tcW w:w="5355"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Katz rule description, median digits affected, palm and dorsum summary</w:t>
            </w:r>
          </w:p>
        </w:tc>
        <w:tc>
          <w:tcPr>
            <w:tcW w:type="dxa" w:w="1464"/>
            <w:tcW w:w="146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No</w:t>
            </w:r>
          </w:p>
        </w:tc>
        <w:tc>
          <w:tcPr>
            <w:tcW w:type="dxa" w:w="2540"/>
            <w:tcW w:w="25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Yes</w:t>
            </w:r>
          </w:p>
        </w:tc>
      </w:tr>
      <w:tr>
        <w:trPr>
          <w:cantSplit/>
        </w:trPr>
        <w:tc>
          <w:tcPr>
            <w:tcW w:type="dxa" w:w="5355"/>
            <w:tcW w:w="5355"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Katz per-region coverage table (pain, tingling, numbness %)</w:t>
            </w:r>
          </w:p>
        </w:tc>
        <w:tc>
          <w:tcPr>
            <w:tcW w:type="dxa" w:w="1464"/>
            <w:tcW w:w="146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No</w:t>
            </w:r>
          </w:p>
        </w:tc>
        <w:tc>
          <w:tcPr>
            <w:tcW w:type="dxa" w:w="2540"/>
            <w:tcW w:w="25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Yes</w:t>
            </w:r>
          </w:p>
        </w:tc>
      </w:tr>
    </w:tbl>
    <w:p>
      <w:pPr>
        <w:spacing w:before="0" w:after="60"/>
      </w:pPr>
    </w:p>
    <w:p>
      <w:pPr>
        <w:keepNext/>
        <w:spacing w:before="120" w:after="60"/>
        <w:jc w:val="center"/>
      </w:pPr>
      <w:r>
        <w:drawing>
          <wp:inline>
            <wp:extent cx="4572000" cy="5965767"/>
            <wp:docPr id="5" name="Picture 5"/>
            <wp:cNvGraphicFramePr>
              <a:graphicFrameLocks noChangeAspect="1"/>
            </wp:cNvGraphicFramePr>
            <a:graphic>
              <a:graphicData uri="http://schemas.openxmlformats.org/drawingml/2006/picture">
                <pic:pic>
                  <pic:nvPicPr>
                    <pic:cNvPr id="0" name="figure05.png"/>
                    <pic:cNvPicPr/>
                  </pic:nvPicPr>
                  <pic:blipFill>
                    <a:blip r:embed="rId10"/>
                    <a:stretch>
                      <a:fillRect/>
                    </a:stretch>
                  </pic:blipFill>
                  <pic:spPr>
                    <a:xfrm>
                      <a:off x="0" y="0"/>
                      <a:ext cx="4572000" cy="5965767"/>
                    </a:xfrm>
                    <a:prstGeom prst="rect"/>
                  </pic:spPr>
                </pic:pic>
              </a:graphicData>
            </a:graphic>
          </wp:inline>
        </w:drawing>
      </w:r>
    </w:p>
    <w:p>
      <w:pPr>
        <w:spacing w:after="200"/>
        <w:jc w:val="center"/>
      </w:pPr>
      <w:r>
        <w:rPr>
          <w:b/>
          <w:i/>
          <w:sz w:val="18"/>
          <w:szCs w:val="18"/>
          <w:color w:val="555555"/>
        </w:rPr>
        <w:t xml:space="preserve">Figure 5. </w:t>
      </w:r>
      <w:r>
        <w:rPr>
          <w:i/>
          <w:sz w:val="18"/>
          <w:szCs w:val="18"/>
          <w:color w:val="555555"/>
        </w:rPr>
        <w:t xml:space="preserve">Patient view: classifications and combined drawings only; Print is the only export.</w:t>
      </w:r>
    </w:p>
    <w:p>
      <w:pPr>
        <w:keepNext/>
        <w:spacing w:before="120" w:after="60"/>
        <w:jc w:val="center"/>
      </w:pPr>
      <w:r>
        <w:drawing>
          <wp:inline>
            <wp:extent cx="3151023" cy="6949438"/>
            <wp:docPr id="6" name="Picture 6"/>
            <wp:cNvGraphicFramePr>
              <a:graphicFrameLocks noChangeAspect="1"/>
            </wp:cNvGraphicFramePr>
            <a:graphic>
              <a:graphicData uri="http://schemas.openxmlformats.org/drawingml/2006/picture">
                <pic:pic>
                  <pic:nvPicPr>
                    <pic:cNvPr id="0" name="figure06.png"/>
                    <pic:cNvPicPr/>
                  </pic:nvPicPr>
                  <pic:blipFill>
                    <a:blip r:embed="rId11"/>
                    <a:stretch>
                      <a:fillRect/>
                    </a:stretch>
                  </pic:blipFill>
                  <pic:spPr>
                    <a:xfrm>
                      <a:off x="0" y="0"/>
                      <a:ext cx="3151023" cy="6949438"/>
                    </a:xfrm>
                    <a:prstGeom prst="rect"/>
                  </pic:spPr>
                </pic:pic>
              </a:graphicData>
            </a:graphic>
          </wp:inline>
        </w:drawing>
      </w:r>
    </w:p>
    <w:p>
      <w:pPr>
        <w:spacing w:after="200"/>
        <w:jc w:val="center"/>
      </w:pPr>
      <w:r>
        <w:rPr>
          <w:b/>
          <w:i/>
          <w:sz w:val="18"/>
          <w:szCs w:val="18"/>
          <w:color w:val="555555"/>
        </w:rPr>
        <w:t xml:space="preserve">Figure 6. </w:t>
      </w:r>
      <w:r>
        <w:rPr>
          <w:i/>
          <w:sz w:val="18"/>
          <w:szCs w:val="18"/>
          <w:color w:val="555555"/>
        </w:rPr>
        <w:t xml:space="preserve">Healthcare professional view: points, score breakdown, digit and palm summaries, and the CSV download.</w:t>
      </w:r>
    </w:p>
    <w:p>
      <w:pPr>
        <w:pStyle w:val="Heading3"/>
        <w:keepNext/>
        <w:keepLines/>
      </w:pPr>
      <w:r>
        <w:t>Export</w:t>
      </w:r>
    </w:p>
    <w:p>
      <w:pPr>
        <w:pStyle w:val="ListParagraph"/>
        <w:numPr>
          <w:ilvl w:val="0"/>
          <w:numId w:val="138"/>
        </w:numPr>
        <w:spacing w:before="0" w:after="60"/>
      </w:pPr>
      <w:r>
        <w:rPr>
          <w:b/>
        </w:rPr>
        <w:t xml:space="preserve">CSV download</w:t>
      </w:r>
      <w:r>
        <w:rPr/>
        <w:t xml:space="preserve"> (healthcare professional view only, per PI decision) builds a file named </w:t>
      </w:r>
      <w:r>
        <w:rPr>
          <w:rFonts w:ascii="Consolas" w:hAnsi="Consolas" w:cs="Consolas"/>
          <w:color w:val="333333"/>
          <w:sz w:val="19"/>
          <w:szCs w:val="19"/>
        </w:rPr>
        <w:t xml:space="preserve">cts_results_&lt;date-time&gt;.csv</w:t>
      </w:r>
      <w:r>
        <w:rPr/>
        <w:t xml:space="preserve"> in the browser. It uses exactly the same field names as the REDCap submission (Section 5), so it can serve as a manual backup or be imported into REDCap.</w:t>
      </w:r>
    </w:p>
    <w:p>
      <w:pPr>
        <w:pStyle w:val="ListParagraph"/>
        <w:numPr>
          <w:ilvl w:val="0"/>
          <w:numId w:val="138"/>
        </w:numPr>
        <w:spacing w:before="0" w:after="60"/>
      </w:pPr>
      <w:r>
        <w:rPr>
          <w:b/>
        </w:rPr>
        <w:t xml:space="preserve">Print</w:t>
      </w:r>
      <w:r>
        <w:rPr/>
        <w:t xml:space="preserve"> is intended to print the results page using the print styles in </w:t>
      </w:r>
      <w:r>
        <w:rPr>
          <w:rFonts w:ascii="Consolas" w:hAnsi="Consolas" w:cs="Consolas"/>
          <w:color w:val="333333"/>
          <w:sz w:val="19"/>
          <w:szCs w:val="19"/>
        </w:rPr>
        <w:t xml:space="preserve">app/globals.css</w:t>
      </w:r>
      <w:r>
        <w:rPr/>
        <w:t xml:space="preserve">. </w:t>
      </w:r>
      <w:r>
        <w:rPr>
          <w:i/>
        </w:rPr>
        <w:t xml:space="preserve">(Note: this is only available on the redcap branch.)</w:t>
      </w:r>
    </w:p>
    <w:p>
      <w:pPr>
        <w:keepNext/>
        <w:spacing w:before="120" w:after="60"/>
        <w:jc w:val="center"/>
      </w:pPr>
      <w:r>
        <w:drawing>
          <wp:inline>
            <wp:extent cx="5943600" cy="3841312"/>
            <wp:docPr id="7" name="Picture 7"/>
            <wp:cNvGraphicFramePr>
              <a:graphicFrameLocks noChangeAspect="1"/>
            </wp:cNvGraphicFramePr>
            <a:graphic>
              <a:graphicData uri="http://schemas.openxmlformats.org/drawingml/2006/picture">
                <pic:pic>
                  <pic:nvPicPr>
                    <pic:cNvPr id="0" name="figure07.png"/>
                    <pic:cNvPicPr/>
                  </pic:nvPicPr>
                  <pic:blipFill>
                    <a:blip r:embed="rId12"/>
                    <a:stretch>
                      <a:fillRect/>
                    </a:stretch>
                  </pic:blipFill>
                  <pic:spPr>
                    <a:xfrm>
                      <a:off x="0" y="0"/>
                      <a:ext cx="5943600" cy="3841312"/>
                    </a:xfrm>
                    <a:prstGeom prst="rect"/>
                  </pic:spPr>
                </pic:pic>
              </a:graphicData>
            </a:graphic>
          </wp:inline>
        </w:drawing>
      </w:r>
    </w:p>
    <w:p>
      <w:pPr>
        <w:spacing w:after="200"/>
        <w:jc w:val="center"/>
      </w:pPr>
      <w:r>
        <w:rPr>
          <w:b/>
          <w:i/>
          <w:sz w:val="18"/>
          <w:szCs w:val="18"/>
          <w:color w:val="555555"/>
        </w:rPr>
        <w:t xml:space="preserve">Figure 7. </w:t>
      </w:r>
      <w:r>
        <w:rPr>
          <w:i/>
          <w:sz w:val="18"/>
          <w:szCs w:val="18"/>
          <w:color w:val="555555"/>
        </w:rPr>
        <w:t xml:space="preserve">Printed / saved-as-PDF copy of the patient view. Buttons and banners are hidden; the combined hand drawings are included.</w:t>
      </w:r>
    </w:p>
    <w:p>
      <w:pPr>
        <w:pStyle w:val="Heading3"/>
        <w:keepNext/>
        <w:keepLines/>
      </w:pPr>
      <w:r>
        <w:t>Session protection</w:t>
      </w:r>
    </w:p>
    <w:p>
      <w:pPr>
        <w:pStyle w:val="ListParagraph"/>
        <w:numPr>
          <w:ilvl w:val="0"/>
          <w:numId w:val="140"/>
        </w:numPr>
        <w:spacing w:before="0" w:after="60"/>
      </w:pPr>
      <w:r>
        <w:rPr>
          <w:b/>
        </w:rPr>
        <w:t xml:space="preserve">Idle timeout.</w:t>
      </w:r>
      <w:r>
        <w:rPr/>
        <w:t xml:space="preserve"> After 10 minutes with no input, a warning appears with a 60-second countdown, then the page reloads and all answers are cleared. Moving the mouse does not count as activity, so a stray movement on a shared device cannot defeat it.</w:t>
      </w:r>
    </w:p>
    <w:p>
      <w:pPr>
        <w:pStyle w:val="ListParagraph"/>
        <w:numPr>
          <w:ilvl w:val="0"/>
          <w:numId w:val="140"/>
        </w:numPr>
        <w:spacing w:before="0" w:after="60"/>
      </w:pPr>
      <w:r>
        <w:rPr>
          <w:b/>
        </w:rPr>
        <w:t xml:space="preserve">Error recovery.</w:t>
      </w:r>
      <w:r>
        <w:rPr/>
        <w:t xml:space="preserve"> An unexpected error shows a friendly message with a </w:t>
      </w:r>
      <w:r>
        <w:rPr>
          <w:b/>
        </w:rPr>
        <w:t xml:space="preserve">Reload</w:t>
      </w:r>
      <w:r>
        <w:rPr/>
        <w:t xml:space="preserve"> button rather than a broken page.</w:t>
      </w:r>
    </w:p>
    <w:p>
      <w:pPr>
        <w:pStyle w:val="ListParagraph"/>
        <w:numPr>
          <w:ilvl w:val="0"/>
          <w:numId w:val="140"/>
        </w:numPr>
        <w:spacing w:before="0" w:after="60"/>
      </w:pPr>
      <w:r>
        <w:rPr>
          <w:b/>
        </w:rPr>
        <w:t xml:space="preserve">No persistence.</w:t>
      </w:r>
      <w:r>
        <w:rPr/>
        <w:t xml:space="preserve"> Answers live only in the page's memory. Refreshing or closing the tab erases them.</w:t>
      </w:r>
    </w:p>
    <w:p>
      <w:pPr>
        <w:pStyle w:val="Heading3"/>
        <w:keepNext/>
        <w:keepLines/>
      </w:pPr>
      <w:r>
        <w:t>Where it lives in the code</w:t>
      </w:r>
    </w:p>
    <w:p>
      <w:pPr>
        <w:pStyle w:val="ListParagraph"/>
        <w:numPr>
          <w:ilvl w:val="0"/>
          <w:numId w:val="142"/>
        </w:numPr>
        <w:spacing w:before="0" w:after="60"/>
      </w:pPr>
      <w:r>
        <w:rPr/>
        <w:t xml:space="preserve">Results page, role dialog and export buttons: </w:t>
      </w:r>
      <w:r>
        <w:rPr>
          <w:rFonts w:ascii="Consolas" w:hAnsi="Consolas" w:cs="Consolas"/>
          <w:color w:val="333333"/>
          <w:sz w:val="19"/>
          <w:szCs w:val="19"/>
        </w:rPr>
        <w:t xml:space="preserve">components/sections/Results.js</w:t>
      </w:r>
    </w:p>
    <w:p>
      <w:pPr>
        <w:pStyle w:val="ListParagraph"/>
        <w:numPr>
          <w:ilvl w:val="0"/>
          <w:numId w:val="142"/>
        </w:numPr>
        <w:spacing w:before="0" w:after="60"/>
      </w:pPr>
      <w:r>
        <w:rPr/>
        <w:t xml:space="preserve">CSV builder and REDCap field map: </w:t>
      </w:r>
      <w:r>
        <w:rPr>
          <w:rFonts w:ascii="Consolas" w:hAnsi="Consolas" w:cs="Consolas"/>
          <w:color w:val="333333"/>
          <w:sz w:val="19"/>
          <w:szCs w:val="19"/>
        </w:rPr>
        <w:t xml:space="preserve">hooks/useExport.js</w:t>
      </w:r>
      <w:r>
        <w:rPr/>
        <w:t xml:space="preserve"> (</w:t>
      </w:r>
      <w:r>
        <w:rPr>
          <w:rFonts w:ascii="Consolas" w:hAnsi="Consolas" w:cs="Consolas"/>
          <w:color w:val="333333"/>
          <w:sz w:val="19"/>
          <w:szCs w:val="19"/>
        </w:rPr>
        <w:t xml:space="preserve">buildFieldMap</w:t>
      </w:r>
      <w:r>
        <w:rPr/>
        <w:t xml:space="preserve">, </w:t>
      </w:r>
      <w:r>
        <w:rPr>
          <w:rFonts w:ascii="Consolas" w:hAnsi="Consolas" w:cs="Consolas"/>
          <w:color w:val="333333"/>
          <w:sz w:val="19"/>
          <w:szCs w:val="19"/>
        </w:rPr>
        <w:t xml:space="preserve">buildCsvRows</w:t>
      </w:r>
      <w:r>
        <w:rPr/>
        <w:t xml:space="preserve">)</w:t>
      </w:r>
    </w:p>
    <w:p>
      <w:pPr>
        <w:pStyle w:val="ListParagraph"/>
        <w:numPr>
          <w:ilvl w:val="0"/>
          <w:numId w:val="142"/>
        </w:numPr>
        <w:spacing w:before="0" w:after="60"/>
      </w:pPr>
      <w:r>
        <w:rPr/>
        <w:t xml:space="preserve">Idle timeout: </w:t>
      </w:r>
      <w:r>
        <w:rPr>
          <w:rFonts w:ascii="Consolas" w:hAnsi="Consolas" w:cs="Consolas"/>
          <w:color w:val="333333"/>
          <w:sz w:val="19"/>
          <w:szCs w:val="19"/>
        </w:rPr>
        <w:t xml:space="preserve">hooks/useIdleTimeout.js</w:t>
      </w:r>
      <w:r>
        <w:rPr/>
        <w:t xml:space="preserve">; durations in </w:t>
      </w:r>
      <w:r>
        <w:rPr>
          <w:rFonts w:ascii="Consolas" w:hAnsi="Consolas" w:cs="Consolas"/>
          <w:color w:val="333333"/>
          <w:sz w:val="19"/>
          <w:szCs w:val="19"/>
        </w:rPr>
        <w:t xml:space="preserve">data/constants.js</w:t>
      </w:r>
      <w:r>
        <w:rPr/>
        <w:t xml:space="preserve"> (</w:t>
      </w:r>
      <w:r>
        <w:rPr>
          <w:rFonts w:ascii="Consolas" w:hAnsi="Consolas" w:cs="Consolas"/>
          <w:color w:val="333333"/>
          <w:sz w:val="19"/>
          <w:szCs w:val="19"/>
        </w:rPr>
        <w:t xml:space="preserve">IDLE_TIMEOUT_MS</w:t>
      </w:r>
      <w:r>
        <w:rPr/>
        <w:t xml:space="preserve">, </w:t>
      </w:r>
      <w:r>
        <w:rPr>
          <w:rFonts w:ascii="Consolas" w:hAnsi="Consolas" w:cs="Consolas"/>
          <w:color w:val="333333"/>
          <w:sz w:val="19"/>
          <w:szCs w:val="19"/>
        </w:rPr>
        <w:t xml:space="preserve">IDLE_WARNING_MS</w:t>
      </w:r>
      <w:r>
        <w:rPr/>
        <w:t xml:space="preserve">)</w:t>
      </w:r>
    </w:p>
    <w:p>
      <w:pPr>
        <w:pStyle w:val="ListParagraph"/>
        <w:numPr>
          <w:ilvl w:val="0"/>
          <w:numId w:val="142"/>
        </w:numPr>
        <w:spacing w:before="0" w:after="60"/>
      </w:pPr>
      <w:r>
        <w:rPr/>
        <w:t xml:space="preserve">Error recovery: </w:t>
      </w:r>
      <w:r>
        <w:rPr>
          <w:rFonts w:ascii="Consolas" w:hAnsi="Consolas" w:cs="Consolas"/>
          <w:color w:val="333333"/>
          <w:sz w:val="19"/>
          <w:szCs w:val="19"/>
        </w:rPr>
        <w:t xml:space="preserve">components/ErrorBoundary.js</w:t>
      </w:r>
    </w:p>
    <w:p>
      <w:pPr>
        <w:pStyle w:val="ListParagraph"/>
        <w:numPr>
          <w:ilvl w:val="0"/>
          <w:numId w:val="142"/>
        </w:numPr>
        <w:spacing w:before="0" w:after="60"/>
      </w:pPr>
      <w:r>
        <w:rPr/>
        <w:t xml:space="preserve">Tests: </w:t>
      </w:r>
      <w:r>
        <w:rPr>
          <w:rFonts w:ascii="Consolas" w:hAnsi="Consolas" w:cs="Consolas"/>
          <w:color w:val="333333"/>
          <w:sz w:val="19"/>
          <w:szCs w:val="19"/>
        </w:rPr>
        <w:t xml:space="preserve">tests/exportCsv.test.js</w:t>
      </w:r>
      <w:r>
        <w:rPr/>
        <w:t xml:space="preserve">, </w:t>
      </w:r>
      <w:r>
        <w:rPr>
          <w:rFonts w:ascii="Consolas" w:hAnsi="Consolas" w:cs="Consolas"/>
          <w:color w:val="333333"/>
          <w:sz w:val="19"/>
          <w:szCs w:val="19"/>
        </w:rPr>
        <w:t xml:space="preserve">tests/useIdleTimeout.test.js</w:t>
      </w:r>
    </w:p>
    <w:p>
      <w:pPr>
        <w:pStyle w:val="Heading1"/>
        <w:keepNext/>
        <w:keepLines/>
      </w:pPr>
      <w:r>
        <w:t>5. REDCap integration (original design, redcap branch)</w:t>
      </w:r>
    </w:p>
    <w:p>
      <w:pPr>
        <w:spacing w:after="120"/>
      </w:pPr>
      <w:r>
        <w:rPr/>
        <w:t xml:space="preserve">The website stays a static front end, and the study's data is stored in </w:t>
      </w:r>
      <w:r>
        <w:rPr>
          <w:b/>
        </w:rPr>
        <w:t xml:space="preserve">REDCap</w:t>
      </w:r>
      <w:r>
        <w:rPr/>
        <w:t xml:space="preserve">. A static site cannot hold the REDCap API token safely, so three small server functions sit between the browser and REDCap: they hold the token, look up participants and forward submissions. In the original design these run as Cloudflare Pages Functions, which is why the design must change before study use (Section 7). The server secrets and REDCap project setup the integration needs are listed in the Walkthrough, Section 4.2.</w:t>
      </w:r>
    </w:p>
    <w:p>
      <w:pPr>
        <w:keepNext/>
        <w:spacing w:before="120" w:after="60"/>
        <w:jc w:val="center"/>
      </w:pPr>
      <w:r>
        <w:drawing>
          <wp:inline>
            <wp:extent cx="5943600" cy="3184071"/>
            <wp:docPr id="8" name="Picture 8"/>
            <wp:cNvGraphicFramePr>
              <a:graphicFrameLocks noChangeAspect="1"/>
            </wp:cNvGraphicFramePr>
            <a:graphic>
              <a:graphicData uri="http://schemas.openxmlformats.org/drawingml/2006/picture">
                <pic:pic>
                  <pic:nvPicPr>
                    <pic:cNvPr id="0" name="figure08.png"/>
                    <pic:cNvPicPr/>
                  </pic:nvPicPr>
                  <pic:blipFill>
                    <a:blip r:embed="rId13"/>
                    <a:stretch>
                      <a:fillRect/>
                    </a:stretch>
                  </pic:blipFill>
                  <pic:spPr>
                    <a:xfrm>
                      <a:off x="0" y="0"/>
                      <a:ext cx="5943600" cy="3184071"/>
                    </a:xfrm>
                    <a:prstGeom prst="rect"/>
                  </pic:spPr>
                </pic:pic>
              </a:graphicData>
            </a:graphic>
          </wp:inline>
        </w:drawing>
      </w:r>
    </w:p>
    <w:p>
      <w:pPr>
        <w:spacing w:after="200"/>
        <w:jc w:val="center"/>
      </w:pPr>
      <w:r>
        <w:rPr>
          <w:b/>
          <w:i/>
          <w:sz w:val="18"/>
          <w:szCs w:val="18"/>
          <w:color w:val="555555"/>
        </w:rPr>
        <w:t xml:space="preserve">Figure 8. </w:t>
      </w:r>
      <w:r>
        <w:rPr>
          <w:i/>
          <w:sz w:val="18"/>
          <w:szCs w:val="18"/>
          <w:color w:val="555555"/>
        </w:rPr>
        <w:t xml:space="preserve">REDCap integration flow in the original design. Step 4 runs when the participant opens the link, before the survey starts: it checks the link and that the timepoint is not yet submitted. Step 5 runs when they reach the Results page.</w:t>
      </w:r>
    </w:p>
    <w:p>
      <w:pPr>
        <w:pStyle w:val="Heading2"/>
        <w:keepNext/>
        <w:keepLines/>
      </w:pPr>
      <w:r>
        <w:t>5.1 Workflow</w:t>
      </w:r>
    </w:p>
    <w:p>
      <w:pPr>
        <w:pStyle w:val="ListParagraph"/>
        <w:numPr>
          <w:ilvl w:val="0"/>
          <w:numId w:val="145"/>
        </w:numPr>
        <w:spacing w:before="0" w:after="60"/>
      </w:pPr>
      <w:r>
        <w:rPr>
          <w:b/>
        </w:rPr>
        <w:t xml:space="preserve">Enrol.</w:t>
      </w:r>
      <w:r>
        <w:rPr/>
        <w:t xml:space="preserve"> The coordinator creates a participant record in REDCap. REDCap's Data Entry Trigger calls </w:t>
      </w:r>
      <w:r>
        <w:rPr>
          <w:rFonts w:ascii="Consolas" w:hAnsi="Consolas" w:cs="Consolas"/>
          <w:color w:val="333333"/>
          <w:sz w:val="19"/>
          <w:szCs w:val="19"/>
        </w:rPr>
        <w:t xml:space="preserve">/api/redcap/provision</w:t>
      </w:r>
      <w:r>
        <w:rPr/>
        <w:t xml:space="preserve">, which generates one unguessable access key per timepoint (baseline, 6-week, 3-month) and writes it back to the record's </w:t>
      </w:r>
      <w:r>
        <w:rPr>
          <w:rFonts w:ascii="Consolas" w:hAnsi="Consolas" w:cs="Consolas"/>
          <w:color w:val="333333"/>
          <w:sz w:val="19"/>
          <w:szCs w:val="19"/>
        </w:rPr>
        <w:t xml:space="preserve">access_key</w:t>
      </w:r>
      <w:r>
        <w:rPr/>
        <w:t xml:space="preserve"> field. Existing keys are never changed, so a link already emailed stays valid.</w:t>
      </w:r>
    </w:p>
    <w:p>
      <w:pPr>
        <w:pStyle w:val="ListParagraph"/>
        <w:numPr>
          <w:ilvl w:val="0"/>
          <w:numId w:val="145"/>
        </w:numPr>
        <w:spacing w:before="0" w:after="60"/>
      </w:pPr>
      <w:r>
        <w:rPr>
          <w:b/>
        </w:rPr>
        <w:t xml:space="preserve">Invite.</w:t>
      </w:r>
      <w:r>
        <w:rPr/>
        <w:t xml:space="preserve"> A REDCap Alert emails the participant a link of the form </w:t>
      </w:r>
      <w:r>
        <w:rPr>
          <w:rFonts w:ascii="Consolas" w:hAnsi="Consolas" w:cs="Consolas"/>
          <w:color w:val="333333"/>
          <w:sz w:val="19"/>
          <w:szCs w:val="19"/>
        </w:rPr>
        <w:t xml:space="preserve">https://&lt;site&gt;/?k=[access_key]</w:t>
      </w:r>
      <w:r>
        <w:rPr/>
        <w:t xml:space="preserve"> at each timepoint.</w:t>
      </w:r>
    </w:p>
    <w:p>
      <w:pPr>
        <w:pStyle w:val="ListParagraph"/>
        <w:numPr>
          <w:ilvl w:val="0"/>
          <w:numId w:val="145"/>
        </w:numPr>
        <w:spacing w:before="0" w:after="60"/>
      </w:pPr>
      <w:r>
        <w:rPr>
          <w:b/>
        </w:rPr>
        <w:t xml:space="preserve">Open.</w:t>
      </w:r>
      <w:r>
        <w:rPr/>
        <w:t xml:space="preserve"> The browser sends the key to </w:t>
      </w:r>
      <w:r>
        <w:rPr>
          <w:rFonts w:ascii="Consolas" w:hAnsi="Consolas" w:cs="Consolas"/>
          <w:color w:val="333333"/>
          <w:sz w:val="19"/>
          <w:szCs w:val="19"/>
        </w:rPr>
        <w:t xml:space="preserve">/api/redcap/session</w:t>
      </w:r>
      <w:r>
        <w:rPr/>
        <w:t xml:space="preserve">. The function finds the matching record and timepoint in REDCap and returns a signed, HttpOnly session cookie (valid 2 hours). The browser only learns the timepoint label (e.g. "6-Week"), never the record ID.</w:t>
      </w:r>
    </w:p>
    <w:p>
      <w:pPr>
        <w:pStyle w:val="ListParagraph"/>
        <w:numPr>
          <w:ilvl w:val="0"/>
          <w:numId w:val="145"/>
        </w:numPr>
        <w:spacing w:before="0" w:after="60"/>
      </w:pPr>
      <w:r>
        <w:rPr>
          <w:b/>
        </w:rPr>
        <w:t xml:space="preserve">Complete.</w:t>
      </w:r>
      <w:r>
        <w:rPr/>
        <w:t xml:space="preserve"> The participant fills in the survey as in Sections 2–4. A banner shows which timepoint they are completing.</w:t>
      </w:r>
    </w:p>
    <w:p>
      <w:pPr>
        <w:pStyle w:val="ListParagraph"/>
        <w:numPr>
          <w:ilvl w:val="0"/>
          <w:numId w:val="145"/>
        </w:numPr>
        <w:spacing w:before="0" w:after="60"/>
      </w:pPr>
      <w:r>
        <w:rPr>
          <w:b/>
        </w:rPr>
        <w:t xml:space="preserve">Submit.</w:t>
      </w:r>
      <w:r>
        <w:rPr/>
        <w:t xml:space="preserve"> When Results appear, the browser automatically posts the field map plus four PNG images (combined drawings for each hand, palm and back) to </w:t>
      </w:r>
      <w:r>
        <w:rPr>
          <w:rFonts w:ascii="Consolas" w:hAnsi="Consolas" w:cs="Consolas"/>
          <w:color w:val="333333"/>
          <w:sz w:val="19"/>
          <w:szCs w:val="19"/>
        </w:rPr>
        <w:t xml:space="preserve">/api/redcap/submit</w:t>
      </w:r>
      <w:r>
        <w:rPr/>
        <w:t xml:space="preserve">. The function reads the record from the cookie and imports the data, then the images.</w:t>
      </w:r>
    </w:p>
    <w:p>
      <w:pPr>
        <w:pStyle w:val="ListParagraph"/>
        <w:numPr>
          <w:ilvl w:val="0"/>
          <w:numId w:val="145"/>
        </w:numPr>
        <w:spacing w:before="0" w:after="60"/>
      </w:pPr>
      <w:r>
        <w:rPr>
          <w:b/>
        </w:rPr>
        <w:t xml:space="preserve">Fallback.</w:t>
      </w:r>
      <w:r>
        <w:rPr/>
        <w:t xml:space="preserve"> If submission fails, the banner offers a Try again button and asks the participant to contact the coordinator; in the professional view it also points to the CSV download.</w:t>
      </w:r>
    </w:p>
    <w:p>
      <w:pPr>
        <w:spacing w:after="120"/>
      </w:pPr>
      <w:r>
        <w:rPr/>
        <w:t xml:space="preserve">Without a </w:t>
      </w:r>
      <w:r>
        <w:rPr>
          <w:rFonts w:ascii="Consolas" w:hAnsi="Consolas" w:cs="Consolas"/>
          <w:color w:val="333333"/>
          <w:sz w:val="19"/>
          <w:szCs w:val="19"/>
        </w:rPr>
        <w:t xml:space="preserve">?k=</w:t>
      </w:r>
      <w:r>
        <w:rPr/>
        <w:t xml:space="preserve"> link the app runs in standalone mode and nothing is submitted.</w:t>
      </w:r>
    </w:p>
    <w:p>
      <w:pPr>
        <w:spacing w:after="120"/>
      </w:pPr>
      <w:r>
        <w:rPr>
          <w:b/>
        </w:rPr>
        <w:t xml:space="preserve">Responses are final once submitted.</w:t>
      </w:r>
      <w:r>
        <w:rPr/>
        <w:t xml:space="preserve"> After a timepoint is submitted, the participant cannot change it: reopening the link, reloading, or an idle-timeout reset shows an "already submitted" notice instead of the survey, and </w:t>
      </w:r>
      <w:r>
        <w:rPr>
          <w:rFonts w:ascii="Consolas" w:hAnsi="Consolas" w:cs="Consolas"/>
          <w:color w:val="333333"/>
          <w:sz w:val="19"/>
          <w:szCs w:val="19"/>
        </w:rPr>
        <w:t xml:space="preserve">/api/redcap/submit</w:t>
      </w:r>
      <w:r>
        <w:rPr/>
        <w:t xml:space="preserve"> refuses a second submission even from a session that is still open. A timepoint counts as submitted once its </w:t>
      </w:r>
      <w:r>
        <w:rPr>
          <w:rFonts w:ascii="Consolas" w:hAnsi="Consolas" w:cs="Consolas"/>
          <w:color w:val="333333"/>
          <w:sz w:val="19"/>
          <w:szCs w:val="19"/>
        </w:rPr>
        <w:t xml:space="preserve">timestamp</w:t>
      </w:r>
      <w:r>
        <w:rPr/>
        <w:t xml:space="preserve"> (time completed) field is filled, which happens when the answers are submitted on reaching the Results page. Opening the link does not close it, so a participant who leaves before finishing can come back. The one exception is a coordinator: clearing that event's </w:t>
      </w:r>
      <w:r>
        <w:rPr>
          <w:rFonts w:ascii="Consolas" w:hAnsi="Consolas" w:cs="Consolas"/>
          <w:color w:val="333333"/>
          <w:sz w:val="19"/>
          <w:szCs w:val="19"/>
        </w:rPr>
        <w:t xml:space="preserve">timestamp</w:t>
      </w:r>
      <w:r>
        <w:rPr/>
        <w:t xml:space="preserve"> in REDCap reopens the timepoint, and the next submission replaces the earlier answers. Other timepoints for the same participant are unaffected. Verified on the study's REDCap project in October 2026; tests in </w:t>
      </w:r>
      <w:r>
        <w:rPr>
          <w:rFonts w:ascii="Consolas" w:hAnsi="Consolas" w:cs="Consolas"/>
          <w:color w:val="333333"/>
          <w:sz w:val="19"/>
          <w:szCs w:val="19"/>
        </w:rPr>
        <w:t xml:space="preserve">tests/redcapResubmission.test.js</w:t>
      </w:r>
      <w:r>
        <w:rPr/>
        <w:t xml:space="preserve">.</w:t>
      </w:r>
    </w:p>
    <w:p>
      <w:pPr>
        <w:keepNext/>
        <w:spacing w:before="120" w:after="60"/>
        <w:jc w:val="center"/>
      </w:pPr>
      <w:r>
        <w:drawing>
          <wp:inline>
            <wp:extent cx="4572000" cy="3740727"/>
            <wp:docPr id="9" name="Picture 9"/>
            <wp:cNvGraphicFramePr>
              <a:graphicFrameLocks noChangeAspect="1"/>
            </wp:cNvGraphicFramePr>
            <a:graphic>
              <a:graphicData uri="http://schemas.openxmlformats.org/drawingml/2006/picture">
                <pic:pic>
                  <pic:nvPicPr>
                    <pic:cNvPr id="0" name="figure09.png"/>
                    <pic:cNvPicPr/>
                  </pic:nvPicPr>
                  <pic:blipFill>
                    <a:blip r:embed="rId14"/>
                    <a:stretch>
                      <a:fillRect/>
                    </a:stretch>
                  </pic:blipFill>
                  <pic:spPr>
                    <a:xfrm>
                      <a:off x="0" y="0"/>
                      <a:ext cx="4572000" cy="3740727"/>
                    </a:xfrm>
                    <a:prstGeom prst="rect"/>
                  </pic:spPr>
                </pic:pic>
              </a:graphicData>
            </a:graphic>
          </wp:inline>
        </w:drawing>
      </w:r>
    </w:p>
    <w:p>
      <w:pPr>
        <w:spacing w:after="200"/>
        <w:jc w:val="center"/>
      </w:pPr>
      <w:r>
        <w:rPr>
          <w:b/>
          <w:i/>
          <w:sz w:val="18"/>
          <w:szCs w:val="18"/>
          <w:color w:val="555555"/>
        </w:rPr>
        <w:t xml:space="preserve">Figure 9. </w:t>
      </w:r>
      <w:r>
        <w:rPr>
          <w:i/>
          <w:sz w:val="18"/>
          <w:szCs w:val="18"/>
          <w:color w:val="555555"/>
        </w:rPr>
        <w:t xml:space="preserve">Study mode: the banner names the timepoint being completed.</w:t>
      </w:r>
    </w:p>
    <w:p>
      <w:pPr>
        <w:keepNext/>
        <w:spacing w:before="120" w:after="60"/>
        <w:jc w:val="center"/>
      </w:pPr>
      <w:r>
        <w:drawing>
          <wp:inline>
            <wp:extent cx="4572000" cy="2161309"/>
            <wp:docPr id="10" name="Picture 10"/>
            <wp:cNvGraphicFramePr>
              <a:graphicFrameLocks noChangeAspect="1"/>
            </wp:cNvGraphicFramePr>
            <a:graphic>
              <a:graphicData uri="http://schemas.openxmlformats.org/drawingml/2006/picture">
                <pic:pic>
                  <pic:nvPicPr>
                    <pic:cNvPr id="0" name="figure10.png"/>
                    <pic:cNvPicPr/>
                  </pic:nvPicPr>
                  <pic:blipFill>
                    <a:blip r:embed="rId15"/>
                    <a:stretch>
                      <a:fillRect/>
                    </a:stretch>
                  </pic:blipFill>
                  <pic:spPr>
                    <a:xfrm>
                      <a:off x="0" y="0"/>
                      <a:ext cx="4572000" cy="2161309"/>
                    </a:xfrm>
                    <a:prstGeom prst="rect"/>
                  </pic:spPr>
                </pic:pic>
              </a:graphicData>
            </a:graphic>
          </wp:inline>
        </w:drawing>
      </w:r>
    </w:p>
    <w:p>
      <w:pPr>
        <w:spacing w:after="200"/>
        <w:jc w:val="center"/>
      </w:pPr>
      <w:r>
        <w:rPr>
          <w:b/>
          <w:i/>
          <w:sz w:val="18"/>
          <w:szCs w:val="18"/>
          <w:color w:val="555555"/>
        </w:rPr>
        <w:t xml:space="preserve">Figure 10. </w:t>
      </w:r>
      <w:r>
        <w:rPr>
          <w:i/>
          <w:sz w:val="18"/>
          <w:szCs w:val="18"/>
          <w:color w:val="555555"/>
        </w:rPr>
        <w:t xml:space="preserve">Reopening a link for a timepoint that was already submitted.</w:t>
      </w:r>
    </w:p>
    <w:p>
      <w:pPr>
        <w:keepNext/>
        <w:spacing w:before="120" w:after="60"/>
        <w:jc w:val="center"/>
      </w:pPr>
      <w:r>
        <w:drawing>
          <wp:inline>
            <wp:extent cx="4572000" cy="3740727"/>
            <wp:docPr id="11" name="Picture 11"/>
            <wp:cNvGraphicFramePr>
              <a:graphicFrameLocks noChangeAspect="1"/>
            </wp:cNvGraphicFramePr>
            <a:graphic>
              <a:graphicData uri="http://schemas.openxmlformats.org/drawingml/2006/picture">
                <pic:pic>
                  <pic:nvPicPr>
                    <pic:cNvPr id="0" name="figure11.png"/>
                    <pic:cNvPicPr/>
                  </pic:nvPicPr>
                  <pic:blipFill>
                    <a:blip r:embed="rId16"/>
                    <a:stretch>
                      <a:fillRect/>
                    </a:stretch>
                  </pic:blipFill>
                  <pic:spPr>
                    <a:xfrm>
                      <a:off x="0" y="0"/>
                      <a:ext cx="4572000" cy="3740727"/>
                    </a:xfrm>
                    <a:prstGeom prst="rect"/>
                  </pic:spPr>
                </pic:pic>
              </a:graphicData>
            </a:graphic>
          </wp:inline>
        </w:drawing>
      </w:r>
    </w:p>
    <w:p>
      <w:pPr>
        <w:spacing w:after="200"/>
        <w:jc w:val="center"/>
      </w:pPr>
      <w:r>
        <w:rPr>
          <w:b/>
          <w:i/>
          <w:sz w:val="18"/>
          <w:szCs w:val="18"/>
          <w:color w:val="555555"/>
        </w:rPr>
        <w:t xml:space="preserve">Figure 11. </w:t>
      </w:r>
      <w:r>
        <w:rPr>
          <w:i/>
          <w:sz w:val="18"/>
          <w:szCs w:val="18"/>
          <w:color w:val="555555"/>
        </w:rPr>
        <w:t xml:space="preserve">Answers saved but a drawing failed to upload: the participant is asked to print or save the results page and share it with the coordinator.</w:t>
      </w:r>
    </w:p>
    <w:p>
      <w:pPr>
        <w:pStyle w:val="Heading2"/>
        <w:keepNext/>
        <w:keepLines/>
      </w:pPr>
      <w:r>
        <w:t>5.2 Security measures already built in</w:t>
      </w:r>
    </w:p>
    <w:p>
      <w:pPr>
        <w:pStyle w:val="ListParagraph"/>
        <w:numPr>
          <w:ilvl w:val="0"/>
          <w:numId w:val="146"/>
        </w:numPr>
        <w:spacing w:before="0" w:after="60"/>
      </w:pPr>
      <w:r>
        <w:rPr/>
        <w:t xml:space="preserve">The REDCap API token is stored only as a server secret; it never reaches the browser or the code repository.</w:t>
      </w:r>
    </w:p>
    <w:p>
      <w:pPr>
        <w:pStyle w:val="ListParagraph"/>
        <w:numPr>
          <w:ilvl w:val="0"/>
          <w:numId w:val="146"/>
        </w:numPr>
        <w:spacing w:before="0" w:after="60"/>
      </w:pPr>
      <w:r>
        <w:rPr/>
        <w:t xml:space="preserve">Access keys are 192-bit random tokens; the record ID and event name travel only inside the signed cookie.</w:t>
      </w:r>
    </w:p>
    <w:p>
      <w:pPr>
        <w:pStyle w:val="ListParagraph"/>
        <w:numPr>
          <w:ilvl w:val="0"/>
          <w:numId w:val="146"/>
        </w:numPr>
        <w:spacing w:before="0" w:after="60"/>
      </w:pPr>
      <w:r>
        <w:rPr/>
        <w:t xml:space="preserve">The provisioning endpoint rejects any call without the shared secret and, when configured, any call for a different REDCap project.</w:t>
      </w:r>
    </w:p>
    <w:p>
      <w:pPr>
        <w:pStyle w:val="ListParagraph"/>
        <w:numPr>
          <w:ilvl w:val="0"/>
          <w:numId w:val="146"/>
        </w:numPr>
        <w:spacing w:before="0" w:after="60"/>
      </w:pPr>
      <w:r>
        <w:rPr/>
        <w:t xml:space="preserve">Blank values never overwrite existing REDCap data, and the record ID / event fields cannot be set by the browser.</w:t>
      </w:r>
    </w:p>
    <w:p>
      <w:pPr>
        <w:pStyle w:val="Heading2"/>
        <w:keepNext/>
        <w:keepLines/>
      </w:pPr>
      <w:r>
        <w:t>5.3 Where it lives in the code</w:t>
      </w:r>
    </w:p>
    <w:p>
      <w:pPr>
        <w:pStyle w:val="ListParagraph"/>
        <w:numPr>
          <w:ilvl w:val="0"/>
          <w:numId w:val="148"/>
        </w:numPr>
        <w:spacing w:before="0" w:after="60"/>
      </w:pPr>
      <w:r>
        <w:rPr/>
        <w:t xml:space="preserve">Server functions: </w:t>
      </w:r>
      <w:r>
        <w:rPr>
          <w:rFonts w:ascii="Consolas" w:hAnsi="Consolas" w:cs="Consolas"/>
          <w:color w:val="333333"/>
          <w:sz w:val="19"/>
          <w:szCs w:val="19"/>
        </w:rPr>
        <w:t xml:space="preserve">functions/api/redcap/provision.js</w:t>
      </w:r>
      <w:r>
        <w:rPr/>
        <w:t xml:space="preserve">, </w:t>
      </w:r>
      <w:r>
        <w:rPr>
          <w:rFonts w:ascii="Consolas" w:hAnsi="Consolas" w:cs="Consolas"/>
          <w:color w:val="333333"/>
          <w:sz w:val="19"/>
          <w:szCs w:val="19"/>
        </w:rPr>
        <w:t xml:space="preserve">session.js</w:t>
      </w:r>
      <w:r>
        <w:rPr/>
        <w:t xml:space="preserve">, </w:t>
      </w:r>
      <w:r>
        <w:rPr>
          <w:rFonts w:ascii="Consolas" w:hAnsi="Consolas" w:cs="Consolas"/>
          <w:color w:val="333333"/>
          <w:sz w:val="19"/>
          <w:szCs w:val="19"/>
        </w:rPr>
        <w:t xml:space="preserve">submit.js</w:t>
      </w:r>
    </w:p>
    <w:p>
      <w:pPr>
        <w:pStyle w:val="ListParagraph"/>
        <w:numPr>
          <w:ilvl w:val="0"/>
          <w:numId w:val="148"/>
        </w:numPr>
        <w:spacing w:before="0" w:after="60"/>
      </w:pPr>
      <w:r>
        <w:rPr/>
        <w:t xml:space="preserve">Shared REDCap helpers, value coding, cookie signing: </w:t>
      </w:r>
      <w:r>
        <w:rPr>
          <w:rFonts w:ascii="Consolas" w:hAnsi="Consolas" w:cs="Consolas"/>
          <w:color w:val="333333"/>
          <w:sz w:val="19"/>
          <w:szCs w:val="19"/>
        </w:rPr>
        <w:t xml:space="preserve">functions/api/_lib/redcap.js</w:t>
      </w:r>
    </w:p>
    <w:p>
      <w:pPr>
        <w:pStyle w:val="ListParagraph"/>
        <w:numPr>
          <w:ilvl w:val="0"/>
          <w:numId w:val="148"/>
        </w:numPr>
        <w:spacing w:before="0" w:after="60"/>
      </w:pPr>
      <w:r>
        <w:rPr/>
        <w:t xml:space="preserve">Browser side: </w:t>
      </w:r>
      <w:r>
        <w:rPr>
          <w:rFonts w:ascii="Consolas" w:hAnsi="Consolas" w:cs="Consolas"/>
          <w:color w:val="333333"/>
          <w:sz w:val="19"/>
          <w:szCs w:val="19"/>
        </w:rPr>
        <w:t xml:space="preserve">lib/redcapClient.js</w:t>
      </w:r>
      <w:r>
        <w:rPr/>
        <w:t xml:space="preserve">, </w:t>
      </w:r>
      <w:r>
        <w:rPr>
          <w:rFonts w:ascii="Consolas" w:hAnsi="Consolas" w:cs="Consolas"/>
          <w:color w:val="333333"/>
          <w:sz w:val="19"/>
          <w:szCs w:val="19"/>
        </w:rPr>
        <w:t xml:space="preserve">hooks/useRedcapSession.js</w:t>
      </w:r>
      <w:r>
        <w:rPr/>
        <w:t xml:space="preserve">, </w:t>
      </w:r>
      <w:r>
        <w:rPr>
          <w:rFonts w:ascii="Consolas" w:hAnsi="Consolas" w:cs="Consolas"/>
          <w:color w:val="333333"/>
          <w:sz w:val="19"/>
          <w:szCs w:val="19"/>
        </w:rPr>
        <w:t xml:space="preserve">hooks/useRedcapSubmit.js</w:t>
      </w:r>
    </w:p>
    <w:p>
      <w:pPr>
        <w:pStyle w:val="ListParagraph"/>
        <w:numPr>
          <w:ilvl w:val="0"/>
          <w:numId w:val="148"/>
        </w:numPr>
        <w:spacing w:before="0" w:after="60"/>
      </w:pPr>
      <w:r>
        <w:rPr/>
        <w:t xml:space="preserve">Status banner: </w:t>
      </w:r>
      <w:r>
        <w:rPr>
          <w:rFonts w:ascii="Consolas" w:hAnsi="Consolas" w:cs="Consolas"/>
          <w:color w:val="333333"/>
          <w:sz w:val="19"/>
          <w:szCs w:val="19"/>
        </w:rPr>
        <w:t xml:space="preserve">RedcapBanner</w:t>
      </w:r>
      <w:r>
        <w:rPr/>
        <w:t xml:space="preserve"> in </w:t>
      </w:r>
      <w:r>
        <w:rPr>
          <w:rFonts w:ascii="Consolas" w:hAnsi="Consolas" w:cs="Consolas"/>
          <w:color w:val="333333"/>
          <w:sz w:val="19"/>
          <w:szCs w:val="19"/>
        </w:rPr>
        <w:t xml:space="preserve">components/CTSSurvey.js</w:t>
      </w:r>
    </w:p>
    <w:p>
      <w:pPr>
        <w:pStyle w:val="ListParagraph"/>
        <w:numPr>
          <w:ilvl w:val="0"/>
          <w:numId w:val="148"/>
        </w:numPr>
        <w:spacing w:before="0" w:after="60"/>
      </w:pPr>
      <w:r>
        <w:rPr/>
        <w:t xml:space="preserve">Event names and image field names are listed at the top of </w:t>
      </w:r>
      <w:r>
        <w:rPr>
          <w:rFonts w:ascii="Consolas" w:hAnsi="Consolas" w:cs="Consolas"/>
          <w:color w:val="333333"/>
          <w:sz w:val="19"/>
          <w:szCs w:val="19"/>
        </w:rPr>
        <w:t xml:space="preserve">provision.js</w:t>
      </w:r>
      <w:r>
        <w:rPr/>
        <w:t xml:space="preserve">, </w:t>
      </w:r>
      <w:r>
        <w:rPr>
          <w:rFonts w:ascii="Consolas" w:hAnsi="Consolas" w:cs="Consolas"/>
          <w:color w:val="333333"/>
          <w:sz w:val="19"/>
          <w:szCs w:val="19"/>
        </w:rPr>
        <w:t xml:space="preserve">session.js</w:t>
      </w:r>
      <w:r>
        <w:rPr/>
        <w:t xml:space="preserve"> and </w:t>
      </w:r>
      <w:r>
        <w:rPr>
          <w:rFonts w:ascii="Consolas" w:hAnsi="Consolas" w:cs="Consolas"/>
          <w:color w:val="333333"/>
          <w:sz w:val="19"/>
          <w:szCs w:val="19"/>
        </w:rPr>
        <w:t xml:space="preserve">submit.js</w:t>
      </w:r>
      <w:r>
        <w:rPr/>
        <w:t xml:space="preserve">; change them there if the REDCap project uses different names.</w:t>
      </w:r>
    </w:p>
    <w:p>
      <w:pPr>
        <w:pStyle w:val="Heading1"/>
        <w:keepNext/>
        <w:keepLines/>
      </w:pPr>
      <w:r>
        <w:t>6. Data handling &amp; privacy</w:t>
      </w:r>
    </w:p>
    <w:p>
      <w:pPr>
        <w:spacing w:after="120"/>
      </w:pPr>
      <w:r>
        <w:rPr/>
        <w:t xml:space="preserve">In standalone mode nothing leaves the device; in study mode one submission of under 1 MB is sent per completed session.</w:t>
      </w:r>
    </w:p>
    <w:p>
      <w:pPr>
        <w:pStyle w:val="Heading2"/>
        <w:keepNext/>
        <w:keepLines/>
      </w:pPr>
      <w:r>
        <w:t>6.1 What a study submission contains</w:t>
      </w:r>
    </w:p>
    <w:tbl>
      <w:tblPr>
        <w:tblW w:w="9360" w:type="dxa"/>
        <w:tblLayout w:type="fixed"/>
      </w:tblPr>
      <w:tblGrid>
        <w:gridCol w:w="2526"/>
        <w:gridCol w:w="4613"/>
        <w:gridCol w:w="2220"/>
      </w:tblGrid>
      <w:tr>
        <w:trPr>
          <w:tblHeader/>
        </w:trPr>
        <w:tc>
          <w:tcPr>
            <w:tcW w:type="dxa" w:w="2526"/>
            <w:tcW w:w="2526"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Data element</w:t>
            </w:r>
          </w:p>
        </w:tc>
        <w:tc>
          <w:tcPr>
            <w:tcW w:type="dxa" w:w="4613"/>
            <w:tcW w:w="4613"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What it is</w:t>
            </w:r>
          </w:p>
        </w:tc>
        <w:tc>
          <w:tcPr>
            <w:tcW w:type="dxa" w:w="2220"/>
            <w:tcW w:w="2220"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Approx. size</w:t>
            </w:r>
          </w:p>
        </w:tc>
      </w:tr>
      <w:tr>
        <w:trPr>
          <w:cantSplit/>
        </w:trPr>
        <w:tc>
          <w:tcPr>
            <w:tcW w:type="dxa" w:w="2526"/>
            <w:tcW w:w="252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Questionnaire answers</w:t>
            </w:r>
          </w:p>
        </w:tc>
        <w:tc>
          <w:tcPr>
            <w:tcW w:type="dxa" w:w="4613"/>
            <w:tcW w:w="461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14 Yes/No (or Not relevant) answers, with gated-off items left blank</w:t>
            </w:r>
          </w:p>
        </w:tc>
        <w:tc>
          <w:tcPr>
            <w:tcW w:type="dxa" w:w="2220"/>
            <w:tcW w:w="222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negligible (text)</w:t>
            </w:r>
          </w:p>
        </w:tc>
      </w:tr>
      <w:tr>
        <w:trPr>
          <w:cantSplit/>
        </w:trPr>
        <w:tc>
          <w:tcPr>
            <w:tcW w:type="dxa" w:w="2526"/>
            <w:tcW w:w="252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Ease ratings and comments</w:t>
            </w:r>
          </w:p>
        </w:tc>
        <w:tc>
          <w:tcPr>
            <w:tcW w:type="dxa" w:w="4613"/>
            <w:tcW w:w="461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Two 1–4 ratings and two free-text comment boxes</w:t>
            </w:r>
          </w:p>
        </w:tc>
        <w:tc>
          <w:tcPr>
            <w:tcW w:type="dxa" w:w="2220"/>
            <w:tcW w:w="222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negligible (text)</w:t>
            </w:r>
          </w:p>
        </w:tc>
      </w:tr>
      <w:tr>
        <w:trPr>
          <w:cantSplit/>
        </w:trPr>
        <w:tc>
          <w:tcPr>
            <w:tcW w:type="dxa" w:w="2526"/>
            <w:tcW w:w="252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Kamath result</w:t>
            </w:r>
          </w:p>
        </w:tc>
        <w:tc>
          <w:tcPr>
            <w:tcW w:type="dxa" w:w="4613"/>
            <w:tcW w:w="461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Total score and classification</w:t>
            </w:r>
          </w:p>
        </w:tc>
        <w:tc>
          <w:tcPr>
            <w:tcW w:type="dxa" w:w="2220"/>
            <w:tcW w:w="222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negligible (text)</w:t>
            </w:r>
          </w:p>
        </w:tc>
      </w:tr>
      <w:tr>
        <w:trPr>
          <w:cantSplit/>
        </w:trPr>
        <w:tc>
          <w:tcPr>
            <w:tcW w:type="dxa" w:w="2526"/>
            <w:tcW w:w="252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Katz results</w:t>
            </w:r>
          </w:p>
        </w:tc>
        <w:tc>
          <w:tcPr>
            <w:tcW w:type="dxa" w:w="4613"/>
            <w:tcW w:w="461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Classification per hand, plus % coverage for 12 regions × 3 symptoms and a combined total, per hand</w:t>
            </w:r>
          </w:p>
        </w:tc>
        <w:tc>
          <w:tcPr>
            <w:tcW w:type="dxa" w:w="2220"/>
            <w:tcW w:w="222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negligible (text)</w:t>
            </w:r>
          </w:p>
        </w:tc>
      </w:tr>
      <w:tr>
        <w:trPr>
          <w:cantSplit/>
        </w:trPr>
        <w:tc>
          <w:tcPr>
            <w:tcW w:type="dxa" w:w="2526"/>
            <w:tcW w:w="252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Hand-diagram images</w:t>
            </w:r>
          </w:p>
        </w:tc>
        <w:tc>
          <w:tcPr>
            <w:tcW w:type="dxa" w:w="4613"/>
            <w:tcW w:w="461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Four PNGs (left/right × palm/back), 300 × 400 pixels each</w:t>
            </w:r>
          </w:p>
        </w:tc>
        <w:tc>
          <w:tcPr>
            <w:tcW w:type="dxa" w:w="2220"/>
            <w:tcW w:w="222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tens of kB each</w:t>
            </w:r>
          </w:p>
        </w:tc>
      </w:tr>
      <w:tr>
        <w:trPr>
          <w:cantSplit/>
        </w:trPr>
        <w:tc>
          <w:tcPr>
            <w:tcW w:type="dxa" w:w="2526"/>
            <w:tcW w:w="252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Timestamp</w:t>
            </w:r>
          </w:p>
        </w:tc>
        <w:tc>
          <w:tcPr>
            <w:tcW w:type="dxa" w:w="4613"/>
            <w:tcW w:w="461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Date and time of submission</w:t>
            </w:r>
          </w:p>
        </w:tc>
        <w:tc>
          <w:tcPr>
            <w:tcW w:type="dxa" w:w="2220"/>
            <w:tcW w:w="222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negligible (text)</w:t>
            </w:r>
          </w:p>
        </w:tc>
      </w:tr>
    </w:tbl>
    <w:p>
      <w:pPr>
        <w:spacing w:before="0" w:after="60"/>
      </w:pPr>
    </w:p>
    <w:p>
      <w:pPr>
        <w:spacing w:after="120"/>
      </w:pPr>
      <w:r>
        <w:rPr/>
        <w:t xml:space="preserve">The application itself asks for no name, email, date of birth or health card number; the link to a person exists only inside REDCap. </w:t>
      </w:r>
      <w:r>
        <w:rPr>
          <w:b/>
        </w:rPr>
        <w:t xml:space="preserve">Note:</w:t>
      </w:r>
      <w:r>
        <w:rPr/>
        <w:t xml:space="preserve"> the free-text comment boxes could contain anything a participant types, including identifying details.</w:t>
      </w:r>
    </w:p>
    <w:p>
      <w:pPr>
        <w:pStyle w:val="Heading2"/>
        <w:keepNext/>
        <w:keepLines/>
      </w:pPr>
      <w:r>
        <w:t>6.2 Measures that apply in both modes</w:t>
      </w:r>
    </w:p>
    <w:p>
      <w:pPr>
        <w:pStyle w:val="ListParagraph"/>
        <w:numPr>
          <w:ilvl w:val="0"/>
          <w:numId w:val="150"/>
        </w:numPr>
        <w:spacing w:before="0" w:after="60"/>
      </w:pPr>
      <w:r>
        <w:rPr>
          <w:b/>
        </w:rPr>
        <w:t xml:space="preserve">Processing on the device.</w:t>
      </w:r>
      <w:r>
        <w:rPr/>
        <w:t xml:space="preserve"> Scoring, image analysis and CSV generation all run in the browser.</w:t>
      </w:r>
    </w:p>
    <w:p>
      <w:pPr>
        <w:pStyle w:val="ListParagraph"/>
        <w:numPr>
          <w:ilvl w:val="0"/>
          <w:numId w:val="150"/>
        </w:numPr>
        <w:spacing w:before="0" w:after="60"/>
      </w:pPr>
      <w:r>
        <w:rPr>
          <w:b/>
        </w:rPr>
        <w:t xml:space="preserve">No storage in the browser.</w:t>
      </w:r>
      <w:r>
        <w:rPr/>
        <w:t xml:space="preserve"> Answers are held in memory only; refresh, idle timeout or closing the tab clears them. This protects data on shared clinic devices.</w:t>
      </w:r>
    </w:p>
    <w:p>
      <w:pPr>
        <w:pStyle w:val="ListParagraph"/>
        <w:numPr>
          <w:ilvl w:val="0"/>
          <w:numId w:val="150"/>
        </w:numPr>
        <w:spacing w:before="0" w:after="60"/>
      </w:pPr>
      <w:r>
        <w:rPr>
          <w:b/>
        </w:rPr>
        <w:t xml:space="preserve">Self-hosted assets.</w:t>
      </w:r>
      <w:r>
        <w:rPr/>
        <w:t xml:space="preserve"> Hand outlines, fonts and scripts are served from the application's own site; no third-party trackers or analytics.</w:t>
      </w:r>
    </w:p>
    <w:p>
      <w:pPr>
        <w:pStyle w:val="ListParagraph"/>
        <w:numPr>
          <w:ilvl w:val="0"/>
          <w:numId w:val="150"/>
        </w:numPr>
        <w:spacing w:before="0" w:after="60"/>
      </w:pPr>
      <w:r>
        <w:rPr>
          <w:b/>
        </w:rPr>
        <w:t xml:space="preserve">Security headers.</w:t>
      </w:r>
      <w:r>
        <w:rPr/>
        <w:t xml:space="preserve"> A Content-Security-Policy limits every page to the application's own site (</w:t>
      </w:r>
      <w:r>
        <w:rPr>
          <w:rFonts w:ascii="Consolas" w:hAnsi="Consolas" w:cs="Consolas"/>
          <w:color w:val="333333"/>
          <w:sz w:val="19"/>
          <w:szCs w:val="19"/>
        </w:rPr>
        <w:t xml:space="preserve">connect-src 'self'</w:t>
      </w:r>
      <w:r>
        <w:rPr/>
        <w:t xml:space="preserve">). Other headers block embedding in other websites and disable camera, microphone, location and payment access.</w:t>
      </w:r>
    </w:p>
    <w:p>
      <w:pPr>
        <w:pStyle w:val="ListParagraph"/>
        <w:numPr>
          <w:ilvl w:val="0"/>
          <w:numId w:val="150"/>
        </w:numPr>
        <w:spacing w:before="0" w:after="60"/>
      </w:pPr>
      <w:r>
        <w:rPr>
          <w:b/>
        </w:rPr>
        <w:t xml:space="preserve">Not indexed.</w:t>
      </w:r>
      <w:r>
        <w:rPr/>
        <w:t xml:space="preserve"> </w:t>
      </w:r>
      <w:r>
        <w:rPr>
          <w:rFonts w:ascii="Consolas" w:hAnsi="Consolas" w:cs="Consolas"/>
          <w:color w:val="333333"/>
          <w:sz w:val="19"/>
          <w:szCs w:val="19"/>
        </w:rPr>
        <w:t xml:space="preserve">robots.txt</w:t>
      </w:r>
      <w:r>
        <w:rPr/>
        <w:t xml:space="preserve"> asks search engines not to list the site.</w:t>
      </w:r>
    </w:p>
    <w:p>
      <w:pPr>
        <w:pStyle w:val="Heading2"/>
        <w:keepNext/>
        <w:keepLines/>
      </w:pPr>
      <w:r>
        <w:t>6.3 Where it lives in the code</w:t>
      </w:r>
    </w:p>
    <w:p>
      <w:pPr>
        <w:pStyle w:val="ListParagraph"/>
        <w:numPr>
          <w:ilvl w:val="0"/>
          <w:numId w:val="152"/>
        </w:numPr>
        <w:spacing w:before="0" w:after="60"/>
      </w:pPr>
      <w:r>
        <w:rPr/>
        <w:t xml:space="preserve">Security headers: </w:t>
      </w:r>
      <w:r>
        <w:rPr>
          <w:rFonts w:ascii="Consolas" w:hAnsi="Consolas" w:cs="Consolas"/>
          <w:color w:val="333333"/>
          <w:sz w:val="19"/>
          <w:szCs w:val="19"/>
        </w:rPr>
        <w:t xml:space="preserve">public/_headers</w:t>
      </w:r>
    </w:p>
    <w:p>
      <w:pPr>
        <w:pStyle w:val="ListParagraph"/>
        <w:numPr>
          <w:ilvl w:val="0"/>
          <w:numId w:val="152"/>
        </w:numPr>
        <w:spacing w:before="0" w:after="60"/>
      </w:pPr>
      <w:r>
        <w:rPr/>
        <w:t xml:space="preserve">Search-engine exclusion: </w:t>
      </w:r>
      <w:r>
        <w:rPr>
          <w:rFonts w:ascii="Consolas" w:hAnsi="Consolas" w:cs="Consolas"/>
          <w:color w:val="333333"/>
          <w:sz w:val="19"/>
          <w:szCs w:val="19"/>
        </w:rPr>
        <w:t xml:space="preserve">public/robots.txt</w:t>
      </w:r>
    </w:p>
    <w:p>
      <w:pPr>
        <w:pStyle w:val="ListParagraph"/>
        <w:numPr>
          <w:ilvl w:val="0"/>
          <w:numId w:val="152"/>
        </w:numPr>
        <w:spacing w:before="0" w:after="60"/>
      </w:pPr>
      <w:r>
        <w:rPr/>
        <w:t xml:space="preserve">Field list sent to REDCap: </w:t>
      </w:r>
      <w:r>
        <w:rPr>
          <w:rFonts w:ascii="Consolas" w:hAnsi="Consolas" w:cs="Consolas"/>
          <w:color w:val="333333"/>
          <w:sz w:val="19"/>
          <w:szCs w:val="19"/>
        </w:rPr>
        <w:t xml:space="preserve">buildFieldMap</w:t>
      </w:r>
      <w:r>
        <w:rPr/>
        <w:t xml:space="preserve"> in </w:t>
      </w:r>
      <w:r>
        <w:rPr>
          <w:rFonts w:ascii="Consolas" w:hAnsi="Consolas" w:cs="Consolas"/>
          <w:color w:val="333333"/>
          <w:sz w:val="19"/>
          <w:szCs w:val="19"/>
        </w:rPr>
        <w:t xml:space="preserve">hooks/useExport.js</w:t>
      </w:r>
    </w:p>
    <w:p>
      <w:pPr>
        <w:pStyle w:val="Heading1"/>
        <w:keepNext/>
        <w:keepLines/>
      </w:pPr>
      <w:r>
        <w:t>7. Open item: data residency and REB approval</w:t>
      </w:r>
    </w:p>
    <w:p>
      <w:pPr>
        <w:spacing w:after="120"/>
      </w:pPr>
      <w:r>
        <w:rPr>
          <w:b/>
        </w:rPr>
        <w:t xml:space="preserve">The original Cloudflare + REDCap design is not expected to be approved by the REB, and the hosting design must change before study data is collected.</w:t>
      </w:r>
      <w:r>
        <w:rPr/>
        <w:t xml:space="preserve"> The rest of the application (Sections 2–4) is unaffected.</w:t>
      </w:r>
    </w:p>
    <w:p>
      <w:pPr>
        <w:pStyle w:val="Heading2"/>
        <w:keepNext/>
        <w:keepLines/>
      </w:pPr>
      <w:r>
        <w:t>7.1 Why the original design fails</w:t>
      </w:r>
    </w:p>
    <w:p>
      <w:pPr>
        <w:spacing w:after="120"/>
      </w:pPr>
      <w:r>
        <w:rPr/>
        <w:t xml:space="preserve">In the original design a submission travels </w:t>
      </w:r>
      <w:r>
        <w:rPr>
          <w:b/>
        </w:rPr>
        <w:t xml:space="preserve">browser → Cloudflare → REDCap</w:t>
      </w:r>
      <w:r>
        <w:rPr/>
        <w:t xml:space="preserve">. Cloudflare ends the encrypted (HTTPS) connection at its nearest data centre, which is not guaranteed to be in Canada, and runs the </w:t>
      </w:r>
      <w:r>
        <w:rPr>
          <w:rFonts w:ascii="Consolas" w:hAnsi="Consolas" w:cs="Consolas"/>
          <w:color w:val="333333"/>
          <w:sz w:val="19"/>
          <w:szCs w:val="19"/>
        </w:rPr>
        <w:t xml:space="preserve">submit</w:t>
      </w:r>
      <w:r>
        <w:rPr/>
        <w:t xml:space="preserve"> function there, so participant data is briefly readable inside the infrastructure of a US-based company. The REB requires the data to stay in Canada and under the institution's control the whole way through, so any option that routes data through a global cloud service has been set aside.</w:t>
      </w:r>
    </w:p>
    <w:p>
      <w:pPr>
        <w:spacing w:after="120"/>
      </w:pPr>
      <w:r>
        <w:rPr/>
        <w:t xml:space="preserve">Two smaller exposures exist even before submission: the access key in the invitation link (</w:t>
      </w:r>
      <w:r>
        <w:rPr>
          <w:rFonts w:ascii="Consolas" w:hAnsi="Consolas" w:cs="Consolas"/>
          <w:color w:val="333333"/>
          <w:sz w:val="19"/>
          <w:szCs w:val="19"/>
        </w:rPr>
        <w:t xml:space="preserve">?k=…</w:t>
      </w:r>
      <w:r>
        <w:rPr/>
        <w:t xml:space="preserve">) is sent to Cloudflare when the page loads, and so are participants' IP addresses.</w:t>
      </w:r>
    </w:p>
    <w:p>
      <w:pPr>
        <w:pStyle w:val="Heading2"/>
        <w:keepNext/>
        <w:keepLines/>
      </w:pPr>
      <w:r>
        <w:t>7.2 Options</w:t>
      </w:r>
    </w:p>
    <w:p>
      <w:pPr>
        <w:spacing w:after="120"/>
      </w:pPr>
      <w:r>
        <w:rPr/>
        <w:t xml:space="preserve">These options follow the </w:t>
      </w:r>
      <w:r>
        <w:rPr>
          <w:i/>
        </w:rPr>
        <w:t xml:space="preserve">Pain &amp; Symptom Application – Data Residency Decision Review</w:t>
      </w:r>
      <w:r>
        <w:rPr/>
        <w:t xml:space="preserve">, adapted to CTS. All of them keep the data on a local device or on a server in Canada.</w:t>
      </w:r>
    </w:p>
    <w:tbl>
      <w:tblPr>
        <w:tblW w:w="9360" w:type="dxa"/>
        <w:tblLayout w:type="fixed"/>
      </w:tblPr>
      <w:tblGrid>
        <w:gridCol w:w="1730"/>
        <w:gridCol w:w="1667"/>
        <w:gridCol w:w="1056"/>
        <w:gridCol w:w="1152"/>
        <w:gridCol w:w="1342"/>
        <w:gridCol w:w="1541"/>
        <w:gridCol w:w="866"/>
      </w:tblGrid>
      <w:tr>
        <w:trPr>
          <w:tblHeader/>
        </w:trPr>
        <w:tc>
          <w:tcPr>
            <w:tcW w:type="dxa" w:w="1730"/>
            <w:tcW w:w="1730"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18"/>
                <w:szCs w:val="18"/>
                <w:color w:val="FFFFFF"/>
              </w:rPr>
              <w:t xml:space="preserve">Option</w:t>
            </w:r>
          </w:p>
        </w:tc>
        <w:tc>
          <w:tcPr>
            <w:tcW w:type="dxa" w:w="1667"/>
            <w:tcW w:w="1667"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18"/>
                <w:szCs w:val="18"/>
                <w:color w:val="FFFFFF"/>
              </w:rPr>
              <w:t xml:space="preserve">How it would work for CTS</w:t>
            </w:r>
          </w:p>
        </w:tc>
        <w:tc>
          <w:tcPr>
            <w:tcW w:type="dxa" w:w="1056"/>
            <w:tcW w:w="1056"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18"/>
                <w:szCs w:val="18"/>
                <w:color w:val="FFFFFF"/>
              </w:rPr>
              <w:t xml:space="preserve">Work</w:t>
            </w:r>
          </w:p>
        </w:tc>
        <w:tc>
          <w:tcPr>
            <w:tcW w:type="dxa" w:w="1152"/>
            <w:tcW w:w="1152"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18"/>
                <w:szCs w:val="18"/>
                <w:color w:val="FFFFFF"/>
              </w:rPr>
              <w:t xml:space="preserve">Estimated time</w:t>
            </w:r>
          </w:p>
        </w:tc>
        <w:tc>
          <w:tcPr>
            <w:tcW w:type="dxa" w:w="1342"/>
            <w:tcW w:w="1342"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18"/>
                <w:szCs w:val="18"/>
                <w:color w:val="FFFFFF"/>
              </w:rPr>
              <w:t xml:space="preserve">REB likelihood</w:t>
            </w:r>
          </w:p>
        </w:tc>
        <w:tc>
          <w:tcPr>
            <w:tcW w:type="dxa" w:w="1541"/>
            <w:tcW w:w="1541"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18"/>
                <w:szCs w:val="18"/>
                <w:color w:val="FFFFFF"/>
              </w:rPr>
              <w:t xml:space="preserve">Estimated cost (CAD)</w:t>
            </w:r>
          </w:p>
        </w:tc>
        <w:tc>
          <w:tcPr>
            <w:tcW w:type="dxa" w:w="866"/>
            <w:tcW w:w="866"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18"/>
                <w:szCs w:val="18"/>
                <w:color w:val="FFFFFF"/>
              </w:rPr>
              <w:t xml:space="preserve">Remote use</w:t>
            </w:r>
          </w:p>
        </w:tc>
      </w:tr>
      <w:tr>
        <w:trPr>
          <w:cantSplit/>
        </w:trPr>
        <w:tc>
          <w:tcPr>
            <w:tcW w:type="dxa" w:w="1730"/>
            <w:tcW w:w="173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b/>
                <w:sz w:val="18"/>
                <w:szCs w:val="18"/>
              </w:rPr>
              <w:t xml:space="preserve">1a. Web app → encrypted device</w:t>
            </w:r>
          </w:p>
        </w:tc>
        <w:tc>
          <w:tcPr>
            <w:tcW w:type="dxa" w:w="1667"/>
            <w:tcW w:w="1667"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Participant completes the survey in person; the CSV (and the four hand images) is saved to an encrypted, study-owned drive and collected by the team</w:t>
            </w:r>
          </w:p>
        </w:tc>
        <w:tc>
          <w:tcPr>
            <w:tcW w:type="dxa" w:w="1056"/>
            <w:tcW w:w="105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Small</w:t>
            </w:r>
          </w:p>
        </w:tc>
        <w:tc>
          <w:tcPr>
            <w:tcW w:type="dxa" w:w="1152"/>
            <w:tcW w:w="1152"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Days</w:t>
            </w:r>
          </w:p>
        </w:tc>
        <w:tc>
          <w:tcPr>
            <w:tcW w:type="dxa" w:w="1342"/>
            <w:tcW w:w="1342"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High</w:t>
            </w:r>
          </w:p>
        </w:tc>
        <w:tc>
          <w:tcPr>
            <w:tcW w:type="dxa" w:w="1541"/>
            <w:tcW w:w="1541"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USB: ~$15–40 each</w:t>
            </w:r>
          </w:p>
        </w:tc>
        <w:tc>
          <w:tcPr>
            <w:tcW w:type="dxa" w:w="866"/>
            <w:tcW w:w="86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No</w:t>
            </w:r>
          </w:p>
        </w:tc>
      </w:tr>
      <w:tr>
        <w:trPr>
          <w:cantSplit/>
        </w:trPr>
        <w:tc>
          <w:tcPr>
            <w:tcW w:type="dxa" w:w="1730"/>
            <w:tcW w:w="173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b/>
                <w:sz w:val="18"/>
                <w:szCs w:val="18"/>
              </w:rPr>
              <w:t xml:space="preserve">1b. Mobile app</w:t>
            </w:r>
          </w:p>
        </w:tc>
        <w:tc>
          <w:tcPr>
            <w:tcW w:type="dxa" w:w="1667"/>
            <w:tcW w:w="1667"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Same app packaged for a study-provided tablet; results saved on the device and collected in person</w:t>
            </w:r>
          </w:p>
        </w:tc>
        <w:tc>
          <w:tcPr>
            <w:tcW w:type="dxa" w:w="1056"/>
            <w:tcW w:w="105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Moderate</w:t>
            </w:r>
          </w:p>
        </w:tc>
        <w:tc>
          <w:tcPr>
            <w:tcW w:type="dxa" w:w="1152"/>
            <w:tcW w:w="1152"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Weeks</w:t>
            </w:r>
          </w:p>
        </w:tc>
        <w:tc>
          <w:tcPr>
            <w:tcW w:type="dxa" w:w="1342"/>
            <w:tcW w:w="1342"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High</w:t>
            </w:r>
          </w:p>
        </w:tc>
        <w:tc>
          <w:tcPr>
            <w:tcW w:type="dxa" w:w="1541"/>
            <w:tcW w:w="1541"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App Store ~$140/yr; Google Play ~$35 once; tablets ~$150–700+ each</w:t>
            </w:r>
          </w:p>
        </w:tc>
        <w:tc>
          <w:tcPr>
            <w:tcW w:type="dxa" w:w="866"/>
            <w:tcW w:w="86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No</w:t>
            </w:r>
          </w:p>
        </w:tc>
      </w:tr>
      <w:tr>
        <w:trPr>
          <w:cantSplit/>
        </w:trPr>
        <w:tc>
          <w:tcPr>
            <w:tcW w:type="dxa" w:w="1730"/>
            <w:tcW w:w="173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b/>
                <w:sz w:val="18"/>
                <w:szCs w:val="18"/>
              </w:rPr>
              <w:t xml:space="preserve">2a. Western-managed server (WTS) → REDCap</w:t>
            </w:r>
          </w:p>
        </w:tc>
        <w:tc>
          <w:tcPr>
            <w:tcW w:type="dxa" w:w="1667"/>
            <w:tcW w:w="1667"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The site and the three REDCap functions are hosted on Western Technology Services infrastructure in Canada; data goes browser → Western server → Western REDCap</w:t>
            </w:r>
          </w:p>
        </w:tc>
        <w:tc>
          <w:tcPr>
            <w:tcW w:type="dxa" w:w="1056"/>
            <w:tcW w:w="105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Large</w:t>
            </w:r>
          </w:p>
        </w:tc>
        <w:tc>
          <w:tcPr>
            <w:tcW w:type="dxa" w:w="1152"/>
            <w:tcW w:w="1152"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Weeks or more</w:t>
            </w:r>
          </w:p>
        </w:tc>
        <w:tc>
          <w:tcPr>
            <w:tcW w:type="dxa" w:w="1342"/>
            <w:tcW w:w="1342"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High</w:t>
            </w:r>
          </w:p>
        </w:tc>
        <w:tc>
          <w:tcPr>
            <w:tcW w:type="dxa" w:w="1541"/>
            <w:tcW w:w="1541"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~$64/month (2 cores, 4 GB RAM, 20 GB)</w:t>
            </w:r>
          </w:p>
        </w:tc>
        <w:tc>
          <w:tcPr>
            <w:tcW w:type="dxa" w:w="866"/>
            <w:tcW w:w="86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18"/>
                <w:szCs w:val="18"/>
              </w:rPr>
              <w:t xml:space="preserve">Yes</w:t>
            </w:r>
          </w:p>
        </w:tc>
      </w:tr>
      <w:tr>
        <w:trPr>
          <w:cantSplit/>
        </w:trPr>
        <w:tc>
          <w:tcPr>
            <w:tcW w:type="dxa" w:w="1730"/>
            <w:tcW w:w="173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b/>
                <w:sz w:val="18"/>
                <w:szCs w:val="18"/>
              </w:rPr>
              <w:t xml:space="preserve">2b. Commercial cloud, Canadian region → REDCap</w:t>
            </w:r>
          </w:p>
        </w:tc>
        <w:tc>
          <w:tcPr>
            <w:tcW w:type="dxa" w:w="1667"/>
            <w:tcW w:w="1667"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Same as 2a, but the server runs on Azure Canada Central or AWS Canada; passes through a provider subject to US law</w:t>
            </w:r>
          </w:p>
        </w:tc>
        <w:tc>
          <w:tcPr>
            <w:tcW w:type="dxa" w:w="1056"/>
            <w:tcW w:w="105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Large</w:t>
            </w:r>
          </w:p>
        </w:tc>
        <w:tc>
          <w:tcPr>
            <w:tcW w:type="dxa" w:w="1152"/>
            <w:tcW w:w="1152"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Weeks or more</w:t>
            </w:r>
          </w:p>
        </w:tc>
        <w:tc>
          <w:tcPr>
            <w:tcW w:type="dxa" w:w="1342"/>
            <w:tcW w:w="1342"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Moderate / conditional</w:t>
            </w:r>
          </w:p>
        </w:tc>
        <w:tc>
          <w:tcPr>
            <w:tcW w:type="dxa" w:w="1541"/>
            <w:tcW w:w="1541"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~$20–70/month + storage</w:t>
            </w:r>
          </w:p>
        </w:tc>
        <w:tc>
          <w:tcPr>
            <w:tcW w:type="dxa" w:w="866"/>
            <w:tcW w:w="86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18"/>
                <w:szCs w:val="18"/>
              </w:rPr>
              <w:t xml:space="preserve">Yes</w:t>
            </w:r>
          </w:p>
        </w:tc>
      </w:tr>
    </w:tbl>
    <w:p>
      <w:pPr>
        <w:spacing w:before="0" w:after="60"/>
      </w:pPr>
    </w:p>
    <w:p>
      <w:pPr>
        <w:spacing w:after="120"/>
      </w:pPr>
      <w:r>
        <w:rPr/>
        <w:t xml:space="preserve">Cost figures for options 1a, 1b and 2b are planning estimates taken from the review; confirm current pricing and REB / TRAC requirements before relying on them.</w:t>
      </w:r>
    </w:p>
    <w:p>
      <w:pPr>
        <w:spacing w:after="120"/>
      </w:pPr>
      <w:r>
        <w:rPr>
          <w:b/>
        </w:rPr>
        <w:t xml:space="preserve">Option 2a cost.</w:t>
      </w:r>
      <w:r>
        <w:rPr/>
        <w:t xml:space="preserve"> WTS's </w:t>
      </w:r>
      <w:hyperlink r:id="rId17" w:history="1">
        <w:r>
          <w:rPr>
            <w:rStyle w:val="Hyperlink"/>
          </w:rPr>
          <w:t xml:space="preserve">Virtual Server Hosting</w:t>
        </w:r>
      </w:hyperlink>
      <w:r>
        <w:rPr/>
        <w:t xml:space="preserve"> page (checked October 2026) lists internal shared-server rates of $40 per server, $3 per CPU core, $4 per GB of RAM and $0.10 per GB of storage. The page does not state the billing period; the review treats it as monthly. The proposed server comes to $64:</w:t>
      </w:r>
    </w:p>
    <w:tbl>
      <w:tblPr>
        <w:tblW w:w="9360" w:type="dxa"/>
        <w:tblLayout w:type="fixed"/>
      </w:tblPr>
      <w:tblGrid>
        <w:gridCol w:w="1179"/>
        <w:gridCol w:w="2555"/>
        <w:gridCol w:w="1280"/>
        <w:gridCol w:w="860"/>
        <w:gridCol w:w="3484"/>
      </w:tblGrid>
      <w:tr>
        <w:trPr>
          <w:tblHeader/>
        </w:trPr>
        <w:tc>
          <w:tcPr>
            <w:tcW w:type="dxa" w:w="1179"/>
            <w:tcW w:w="1179"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Part</w:t>
            </w:r>
          </w:p>
        </w:tc>
        <w:tc>
          <w:tcPr>
            <w:tcW w:type="dxa" w:w="2555"/>
            <w:tcW w:w="2555"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What it is</w:t>
            </w:r>
          </w:p>
        </w:tc>
        <w:tc>
          <w:tcPr>
            <w:tcW w:type="dxa" w:w="1280"/>
            <w:tcW w:w="1280"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Proposed</w:t>
            </w:r>
          </w:p>
        </w:tc>
        <w:tc>
          <w:tcPr>
            <w:tcW w:type="dxa" w:w="860"/>
            <w:tcW w:w="860"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Cost</w:t>
            </w:r>
          </w:p>
        </w:tc>
        <w:tc>
          <w:tcPr>
            <w:tcW w:type="dxa" w:w="3484"/>
            <w:tcW w:w="3484"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Why this size</w:t>
            </w:r>
          </w:p>
        </w:tc>
      </w:tr>
      <w:tr>
        <w:trPr>
          <w:cantSplit/>
        </w:trPr>
        <w:tc>
          <w:tcPr>
            <w:tcW w:type="dxa" w:w="1179"/>
            <w:tcW w:w="1179"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Base VM</w:t>
            </w:r>
          </w:p>
        </w:tc>
        <w:tc>
          <w:tcPr>
            <w:tcW w:type="dxa" w:w="2555"/>
            <w:tcW w:w="2555"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The virtual server itself; includes operating system licensing, backups and initial setup</w:t>
            </w:r>
          </w:p>
        </w:tc>
        <w:tc>
          <w:tcPr>
            <w:tcW w:type="dxa" w:w="1280"/>
            <w:tcW w:w="128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w:t>
            </w:r>
          </w:p>
        </w:tc>
        <w:tc>
          <w:tcPr>
            <w:tcW w:type="dxa" w:w="860"/>
            <w:tcW w:w="86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$40</w:t>
            </w:r>
          </w:p>
        </w:tc>
        <w:tc>
          <w:tcPr>
            <w:tcW w:type="dxa" w:w="3484"/>
            <w:tcW w:w="348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Fixed charge per server</w:t>
            </w:r>
          </w:p>
        </w:tc>
      </w:tr>
      <w:tr>
        <w:trPr>
          <w:cantSplit/>
        </w:trPr>
        <w:tc>
          <w:tcPr>
            <w:tcW w:type="dxa" w:w="1179"/>
            <w:tcW w:w="1179"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CPU cores</w:t>
            </w:r>
          </w:p>
        </w:tc>
        <w:tc>
          <w:tcPr>
            <w:tcW w:type="dxa" w:w="2555"/>
            <w:tcW w:w="2555"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Processing capacity: how many tasks the server can work on at once</w:t>
            </w:r>
          </w:p>
        </w:tc>
        <w:tc>
          <w:tcPr>
            <w:tcW w:type="dxa" w:w="1280"/>
            <w:tcW w:w="128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 shared</w:t>
            </w:r>
          </w:p>
        </w:tc>
        <w:tc>
          <w:tcPr>
            <w:tcW w:type="dxa" w:w="860"/>
            <w:tcW w:w="86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$6</w:t>
            </w:r>
          </w:p>
        </w:tc>
        <w:tc>
          <w:tcPr>
            <w:tcW w:type="dxa" w:w="3484"/>
            <w:tcW w:w="348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The app uses little processing; updates just run a little slower</w:t>
            </w:r>
          </w:p>
        </w:tc>
      </w:tr>
      <w:tr>
        <w:trPr>
          <w:cantSplit/>
        </w:trPr>
        <w:tc>
          <w:tcPr>
            <w:tcW w:type="dxa" w:w="1179"/>
            <w:tcW w:w="1179"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RAM</w:t>
            </w:r>
          </w:p>
        </w:tc>
        <w:tc>
          <w:tcPr>
            <w:tcW w:type="dxa" w:w="2555"/>
            <w:tcW w:w="2555"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Short-term working memory used while programs run</w:t>
            </w:r>
          </w:p>
        </w:tc>
        <w:tc>
          <w:tcPr>
            <w:tcW w:type="dxa" w:w="1280"/>
            <w:tcW w:w="128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4 GB</w:t>
            </w:r>
          </w:p>
        </w:tc>
        <w:tc>
          <w:tcPr>
            <w:tcW w:type="dxa" w:w="860"/>
            <w:tcW w:w="86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$16</w:t>
            </w:r>
          </w:p>
        </w:tc>
        <w:tc>
          <w:tcPr>
            <w:tcW w:type="dxa" w:w="3484"/>
            <w:tcW w:w="348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Measured: the app peaks at about 226 MB even with 300 simultaneous submissions, but updating it peaks at 1.1 GB while the app keeps running, plus the operating system and web server. Can be lower to save cost</w:t>
            </w:r>
          </w:p>
        </w:tc>
      </w:tr>
      <w:tr>
        <w:trPr>
          <w:cantSplit/>
        </w:trPr>
        <w:tc>
          <w:tcPr>
            <w:tcW w:type="dxa" w:w="1179"/>
            <w:tcW w:w="1179"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Storage</w:t>
            </w:r>
          </w:p>
        </w:tc>
        <w:tc>
          <w:tcPr>
            <w:tcW w:type="dxa" w:w="2555"/>
            <w:tcW w:w="2555"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Disk space that keeps files permanently</w:t>
            </w:r>
          </w:p>
        </w:tc>
        <w:tc>
          <w:tcPr>
            <w:tcW w:type="dxa" w:w="1280"/>
            <w:tcW w:w="128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20 GB</w:t>
            </w:r>
          </w:p>
        </w:tc>
        <w:tc>
          <w:tcPr>
            <w:tcW w:type="dxa" w:w="860"/>
            <w:tcW w:w="86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$2</w:t>
            </w:r>
          </w:p>
        </w:tc>
        <w:tc>
          <w:tcPr>
            <w:tcW w:type="dxa" w:w="3484"/>
            <w:tcW w:w="3484"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The app needs about 1 GB; the rest is for the operating system, updates and logs. Study data is stored in REDCap, not on the server</w:t>
            </w:r>
          </w:p>
        </w:tc>
      </w:tr>
      <w:tr>
        <w:trPr>
          <w:cantSplit/>
        </w:trPr>
        <w:tc>
          <w:tcPr>
            <w:tcW w:type="dxa" w:w="1179"/>
            <w:tcW w:w="1179"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b/>
                <w:sz w:val="20"/>
                <w:szCs w:val="20"/>
              </w:rPr>
              <w:t xml:space="preserve">Total</w:t>
            </w:r>
          </w:p>
        </w:tc>
        <w:tc>
          <w:tcPr>
            <w:tcW w:type="dxa" w:w="2555"/>
            <w:tcW w:w="2555"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tc>
        <w:tc>
          <w:tcPr>
            <w:tcW w:type="dxa" w:w="1280"/>
            <w:tcW w:w="128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tc>
        <w:tc>
          <w:tcPr>
            <w:tcW w:type="dxa" w:w="860"/>
            <w:tcW w:w="86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b/>
                <w:sz w:val="20"/>
                <w:szCs w:val="20"/>
              </w:rPr>
              <w:t xml:space="preserve">$64</w:t>
            </w:r>
          </w:p>
        </w:tc>
        <w:tc>
          <w:tcPr>
            <w:tcW w:type="dxa" w:w="3484"/>
            <w:tcW w:w="3484"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tc>
      </w:tr>
    </w:tbl>
    <w:p>
      <w:pPr>
        <w:spacing w:before="0" w:after="60"/>
      </w:pPr>
    </w:p>
    <w:p>
      <w:pPr>
        <w:spacing w:after="120"/>
      </w:pPr>
      <w:r>
        <w:rPr/>
        <w:t xml:space="preserve">Memory was measured by running the REDCap functions and the built site in a Node.js test server with a simulated REDCap. Setup steps and the WTS request are in the Walkthrough, Section 3.2.</w:t>
      </w:r>
    </w:p>
    <w:p>
      <w:pPr>
        <w:pStyle w:val="Heading2"/>
        <w:keepNext/>
        <w:keepLines/>
      </w:pPr>
      <w:r>
        <w:t>7.3 What each option means for the code</w:t>
      </w:r>
    </w:p>
    <w:p>
      <w:pPr>
        <w:pStyle w:val="ListParagraph"/>
        <w:numPr>
          <w:ilvl w:val="0"/>
          <w:numId w:val="154"/>
        </w:numPr>
        <w:spacing w:before="0" w:after="60"/>
      </w:pPr>
      <w:r>
        <w:rPr>
          <w:b/>
        </w:rPr>
        <w:t xml:space="preserve">1a</w:t>
      </w:r>
      <w:r>
        <w:rPr/>
        <w:t xml:space="preserve"> is closest to done. The CSV download already uses the exact REDCap field names (Section 4). Its answers are written as words (Yes, No), while REDCap stores codes (1, 0), so the download should apply the same coding as the server before files are imported into REDCap. Remaining work: add the four hand-diagram images to the download (for example as one ZIP), make the download available on the study device (it is currently in the healthcare professional view only), and set a file-naming routine. Deploy from a branch without the </w:t>
      </w:r>
      <w:r>
        <w:rPr>
          <w:rFonts w:ascii="Consolas" w:hAnsi="Consolas" w:cs="Consolas"/>
          <w:color w:val="333333"/>
          <w:sz w:val="19"/>
          <w:szCs w:val="19"/>
        </w:rPr>
        <w:t xml:space="preserve">functions/</w:t>
      </w:r>
      <w:r>
        <w:rPr/>
        <w:t xml:space="preserve"> folder: Cloudflare Pages deploys that folder automatically as server code, so leaving it out publishes only the static site and removes the REDCap submission path (Walkthrough, Section 3.1.1).</w:t>
      </w:r>
    </w:p>
    <w:p>
      <w:pPr>
        <w:pStyle w:val="ListParagraph"/>
        <w:numPr>
          <w:ilvl w:val="0"/>
          <w:numId w:val="154"/>
        </w:numPr>
        <w:spacing w:before="0" w:after="60"/>
      </w:pPr>
      <w:r>
        <w:rPr>
          <w:b/>
        </w:rPr>
        <w:t xml:space="preserve">1b</w:t>
      </w:r>
      <w:r>
        <w:rPr/>
        <w:t xml:space="preserve"> reuses the same code inside an app wrapper; saving to the device replaces the browser download.</w:t>
      </w:r>
    </w:p>
    <w:p>
      <w:pPr>
        <w:pStyle w:val="ListParagraph"/>
        <w:numPr>
          <w:ilvl w:val="0"/>
          <w:numId w:val="154"/>
        </w:numPr>
        <w:spacing w:before="0" w:after="60"/>
      </w:pPr>
      <w:r>
        <w:rPr>
          <w:b/>
        </w:rPr>
        <w:t xml:space="preserve">2a / 2b</w:t>
      </w:r>
      <w:r>
        <w:rPr/>
        <w:t xml:space="preserve"> reuse the REDCap logic in </w:t>
      </w:r>
      <w:r>
        <w:rPr>
          <w:rFonts w:ascii="Consolas" w:hAnsi="Consolas" w:cs="Consolas"/>
          <w:color w:val="333333"/>
          <w:sz w:val="19"/>
          <w:szCs w:val="19"/>
        </w:rPr>
        <w:t xml:space="preserve">functions/api/</w:t>
      </w:r>
      <w:r>
        <w:rPr/>
        <w:t xml:space="preserve">. It already relies only on standard web features (fetch, FormData, Web Crypto), so it can be moved into a small Node.js server with a thin adapter for the </w:t>
      </w:r>
      <w:r>
        <w:rPr>
          <w:rFonts w:ascii="Consolas" w:hAnsi="Consolas" w:cs="Consolas"/>
          <w:color w:val="333333"/>
          <w:sz w:val="19"/>
          <w:szCs w:val="19"/>
        </w:rPr>
        <w:t xml:space="preserve">onRequestGet</w:t>
      </w:r>
      <w:r>
        <w:rPr/>
        <w:t xml:space="preserve"> / </w:t>
      </w:r>
      <w:r>
        <w:rPr>
          <w:rFonts w:ascii="Consolas" w:hAnsi="Consolas" w:cs="Consolas"/>
          <w:color w:val="333333"/>
          <w:sz w:val="19"/>
          <w:szCs w:val="19"/>
        </w:rPr>
        <w:t xml:space="preserve">onRequestPost</w:t>
      </w:r>
      <w:r>
        <w:rPr/>
        <w:t xml:space="preserve"> handler shape. The static site (</w:t>
      </w:r>
      <w:r>
        <w:rPr>
          <w:rFonts w:ascii="Consolas" w:hAnsi="Consolas" w:cs="Consolas"/>
          <w:color w:val="333333"/>
          <w:sz w:val="19"/>
          <w:szCs w:val="19"/>
        </w:rPr>
        <w:t xml:space="preserve">npm run build</w:t>
      </w:r>
      <w:r>
        <w:rPr/>
        <w:t xml:space="preserve"> → </w:t>
      </w:r>
      <w:r>
        <w:rPr>
          <w:rFonts w:ascii="Consolas" w:hAnsi="Consolas" w:cs="Consolas"/>
          <w:color w:val="333333"/>
          <w:sz w:val="19"/>
          <w:szCs w:val="19"/>
        </w:rPr>
        <w:t xml:space="preserve">out/</w:t>
      </w:r>
      <w:r>
        <w:rPr/>
        <w:t xml:space="preserve">) can be served by the same server. The server secrets (Walkthrough, Section 4.2) move to that server's configuration, and REDCap's Data Entry Trigger URL must point at the new address.</w:t>
      </w:r>
    </w:p>
    <w:p>
      <w:pPr>
        <w:pStyle w:val="ListParagraph"/>
        <w:numPr>
          <w:ilvl w:val="0"/>
          <w:numId w:val="154"/>
        </w:numPr>
        <w:spacing w:before="0" w:after="60"/>
      </w:pPr>
      <w:r>
        <w:rPr>
          <w:b/>
        </w:rPr>
        <w:t xml:space="preserve">If only the server functions move</w:t>
      </w:r>
      <w:r>
        <w:rPr/>
        <w:t xml:space="preserve"> and the static site stays on Cloudflare, three more changes are needed: (1) the browser must call the new server's address, which means updating </w:t>
      </w:r>
      <w:r>
        <w:rPr>
          <w:rFonts w:ascii="Consolas" w:hAnsi="Consolas" w:cs="Consolas"/>
          <w:color w:val="333333"/>
          <w:sz w:val="19"/>
          <w:szCs w:val="19"/>
        </w:rPr>
        <w:t xml:space="preserve">connect-src</w:t>
      </w:r>
      <w:r>
        <w:rPr/>
        <w:t xml:space="preserve"> in </w:t>
      </w:r>
      <w:r>
        <w:rPr>
          <w:rFonts w:ascii="Consolas" w:hAnsi="Consolas" w:cs="Consolas"/>
          <w:color w:val="333333"/>
          <w:sz w:val="19"/>
          <w:szCs w:val="19"/>
        </w:rPr>
        <w:t xml:space="preserve">public/_headers</w:t>
      </w:r>
      <w:r>
        <w:rPr/>
        <w:t xml:space="preserve">; (2) the session cookie would become cross-site and be blocked by many browsers, so the session should be passed as a token instead; (3) the access key should move from </w:t>
      </w:r>
      <w:r>
        <w:rPr>
          <w:rFonts w:ascii="Consolas" w:hAnsi="Consolas" w:cs="Consolas"/>
          <w:color w:val="333333"/>
          <w:sz w:val="19"/>
          <w:szCs w:val="19"/>
        </w:rPr>
        <w:t xml:space="preserve">?k=</w:t>
      </w:r>
      <w:r>
        <w:rPr/>
        <w:t xml:space="preserve"> to the URL fragment (</w:t>
      </w:r>
      <w:r>
        <w:rPr>
          <w:rFonts w:ascii="Consolas" w:hAnsi="Consolas" w:cs="Consolas"/>
          <w:color w:val="333333"/>
          <w:sz w:val="19"/>
          <w:szCs w:val="19"/>
        </w:rPr>
        <w:t xml:space="preserve">#k=</w:t>
      </w:r>
      <w:r>
        <w:rPr/>
        <w:t xml:space="preserve">), which browsers never send to the server. Hosting everything on the Western server avoids all three and is simpler to explain to the REB.</w:t>
      </w:r>
    </w:p>
    <w:p>
      <w:pPr>
        <w:pStyle w:val="Heading2"/>
        <w:keepNext/>
        <w:keepLines/>
      </w:pPr>
      <w:r>
        <w:t>7.4 Suggested direction</w:t>
      </w:r>
    </w:p>
    <w:p>
      <w:pPr>
        <w:spacing w:after="120"/>
      </w:pPr>
      <w:r>
        <w:rPr/>
        <w:t xml:space="preserve">For a longitudinal study with emailed invitations at baseline, 6 weeks and 3 months, participants are likely to complete the survey remotely, which only option 2 supports. </w:t>
      </w:r>
      <w:r>
        <w:rPr>
          <w:b/>
        </w:rPr>
        <w:t xml:space="preserve">Option 2a (Western-managed server)</w:t>
      </w:r>
      <w:r>
        <w:rPr/>
        <w:t xml:space="preserve"> has the highest approval likelihood among the remote options. If the study can collect data in person, </w:t>
      </w:r>
      <w:r>
        <w:rPr>
          <w:b/>
        </w:rPr>
        <w:t xml:space="preserve">option 1a</w:t>
      </w:r>
      <w:r>
        <w:rPr/>
        <w:t xml:space="preserve"> is the fastest route and could serve as an interim solution while the server is requested. The PI and REB should make the final call.</w:t>
      </w:r>
    </w:p>
    <w:p>
      <w:pPr>
        <w:spacing w:after="120"/>
      </w:pPr>
      <w:r>
        <w:rPr/>
        <w:t xml:space="preserve">The steps to implement option 2a are drafted in the Walkthrough, Section 3.2; option 1a (Cloudflare Pages, no data submitted) in Section 3.1.</w:t>
      </w:r>
    </w:p>
    <w:p>
      <w:pPr>
        <w:pStyle w:val="Heading1"/>
        <w:keepNext/>
        <w:keepLines/>
      </w:pPr>
      <w:r>
        <w:t>8. Technology stack &amp; project structure</w:t>
      </w:r>
    </w:p>
    <w:tbl>
      <w:tblPr>
        <w:tblW w:w="9360" w:type="dxa"/>
        <w:tblLayout w:type="fixed"/>
      </w:tblPr>
      <w:tblGrid>
        <w:gridCol w:w="2071"/>
        <w:gridCol w:w="2840"/>
        <w:gridCol w:w="4447"/>
      </w:tblGrid>
      <w:tr>
        <w:trPr>
          <w:tblHeader/>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Technology</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Purpose</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Note</w:t>
            </w:r>
          </w:p>
        </w:tc>
      </w:tr>
      <w:tr>
        <w:trPr>
          <w:cantSplit/>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Next.js 15</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Site framework</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Static export (</w:t>
            </w:r>
            <w:r>
              <w:rPr>
                <w:rFonts w:ascii="Consolas" w:hAnsi="Consolas" w:cs="Consolas"/>
                <w:color w:val="333333"/>
                <w:sz w:val="19"/>
                <w:szCs w:val="19"/>
              </w:rPr>
              <w:t xml:space="preserve">output: 'export'</w:t>
            </w:r>
            <w:r>
              <w:rPr>
                <w:sz w:val="20"/>
                <w:szCs w:val="20"/>
              </w:rPr>
              <w:t xml:space="preserve">); build output is plain files in </w:t>
            </w:r>
            <w:r>
              <w:rPr>
                <w:rFonts w:ascii="Consolas" w:hAnsi="Consolas" w:cs="Consolas"/>
                <w:color w:val="333333"/>
                <w:sz w:val="19"/>
                <w:szCs w:val="19"/>
              </w:rPr>
              <w:t xml:space="preserve">out/</w:t>
            </w:r>
          </w:p>
        </w:tc>
      </w:tr>
      <w:tr>
        <w:trPr>
          <w:cantSplit/>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React 19</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Interactive pages (questions, canvases, results, dialogs)</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Runs in the browser</w:t>
            </w:r>
          </w:p>
        </w:tc>
      </w:tr>
      <w:tr>
        <w:trPr>
          <w:cantSplit/>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Tailwind CSS 3</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Layout and styling</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Responsive for desktop, tablet and phone</w:t>
            </w:r>
          </w:p>
        </w:tc>
      </w:tr>
      <w:tr>
        <w:trPr>
          <w:cantSplit/>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driver.js</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Guided tours and highlights</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Steps in </w:t>
            </w:r>
            <w:r>
              <w:rPr>
                <w:rFonts w:ascii="Consolas" w:hAnsi="Consolas" w:cs="Consolas"/>
                <w:color w:val="333333"/>
                <w:sz w:val="19"/>
                <w:szCs w:val="19"/>
              </w:rPr>
              <w:t xml:space="preserve">lib/tourConfig.js</w:t>
            </w:r>
          </w:p>
        </w:tc>
      </w:tr>
      <w:tr>
        <w:trPr>
          <w:cantSplit/>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lucide-react</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Icons</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Bundled with the site</w:t>
            </w:r>
          </w:p>
        </w:tc>
      </w:tr>
      <w:tr>
        <w:trPr>
          <w:cantSplit/>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Vitest</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Unit tests (scoring, symptom flags, CSV, idle timeout, REDCap functions)</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Run with </w:t>
            </w:r>
            <w:r>
              <w:rPr>
                <w:rFonts w:ascii="Consolas" w:hAnsi="Consolas" w:cs="Consolas"/>
                <w:color w:val="333333"/>
                <w:sz w:val="19"/>
                <w:szCs w:val="19"/>
              </w:rPr>
              <w:t xml:space="preserve">npm test</w:t>
            </w:r>
          </w:p>
        </w:tc>
      </w:tr>
      <w:tr>
        <w:trPr>
          <w:cantSplit/>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ESLint</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Code style checks</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Run with </w:t>
            </w:r>
            <w:r>
              <w:rPr>
                <w:rFonts w:ascii="Consolas" w:hAnsi="Consolas" w:cs="Consolas"/>
                <w:color w:val="333333"/>
                <w:sz w:val="19"/>
                <w:szCs w:val="19"/>
              </w:rPr>
              <w:t xml:space="preserve">npm run lint</w:t>
            </w:r>
          </w:p>
        </w:tc>
      </w:tr>
      <w:tr>
        <w:trPr>
          <w:cantSplit/>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GitHub Actions</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CI: lint, tests and build</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Runs on every push and pull request (</w:t>
            </w:r>
            <w:r>
              <w:rPr>
                <w:rFonts w:ascii="Consolas" w:hAnsi="Consolas" w:cs="Consolas"/>
                <w:color w:val="333333"/>
                <w:sz w:val="19"/>
                <w:szCs w:val="19"/>
              </w:rPr>
              <w:t xml:space="preserve">.github/workflows/ci.yml</w:t>
            </w:r>
            <w:r>
              <w:rPr>
                <w:sz w:val="20"/>
                <w:szCs w:val="20"/>
              </w:rPr>
              <w:t xml:space="preserve">)</w:t>
            </w:r>
          </w:p>
        </w:tc>
      </w:tr>
      <w:tr>
        <w:trPr>
          <w:cantSplit/>
        </w:trPr>
        <w:tc>
          <w:tcPr>
            <w:tcW w:type="dxa" w:w="2071"/>
            <w:tcW w:w="2071"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Cloudflare Pages + Pages Functions</w:t>
            </w:r>
          </w:p>
        </w:tc>
        <w:tc>
          <w:tcPr>
            <w:tcW w:type="dxa" w:w="2840"/>
            <w:tcW w:w="2840"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Hosting of the demo, and the REDCap server functions on the </w:t>
            </w:r>
            <w:r>
              <w:rPr>
                <w:rFonts w:ascii="Consolas" w:hAnsi="Consolas" w:cs="Consolas"/>
                <w:color w:val="333333"/>
                <w:sz w:val="19"/>
                <w:szCs w:val="19"/>
              </w:rPr>
              <w:t xml:space="preserve">redcap</w:t>
            </w:r>
            <w:r>
              <w:rPr>
                <w:sz w:val="20"/>
                <w:szCs w:val="20"/>
              </w:rPr>
              <w:t xml:space="preserve"> branch</w:t>
            </w:r>
          </w:p>
        </w:tc>
        <w:tc>
          <w:tcPr>
            <w:tcW w:type="dxa" w:w="4447"/>
            <w:tcW w:w="4447"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To be replaced for study use (Section 7)</w:t>
            </w:r>
          </w:p>
        </w:tc>
      </w:tr>
    </w:tbl>
    <w:p>
      <w:pPr>
        <w:spacing w:before="0" w:after="60"/>
      </w:pPr>
    </w:p>
    <w:p>
      <w:pPr>
        <w:pStyle w:val="Heading3"/>
        <w:keepNext/>
        <w:keepLines/>
      </w:pPr>
      <w:r>
        <w:t>Project structure</w:t>
      </w:r>
    </w:p>
    <w:p>
      <w:pPr>
        <w:keepLines/>
        <w:shd w:val="clear" w:color="auto" w:fill="F4F6F8"/>
        <w:ind w:left="180"/>
        <w:spacing w:before="60" w:after="160"/>
      </w:pPr>
      <w:r>
        <w:rPr>
          <w:rFonts w:ascii="Consolas" w:hAnsi="Consolas" w:cs="Consolas"/>
          <w:color w:val="333333"/>
          <w:sz w:val="17"/>
          <w:szCs w:val="17"/>
        </w:rPr>
        <w:t xml:space="preserve">app/                   Next.js entry: layout, page, global + print styles</w:t>
        <w:br/>
        <w:t xml:space="preserve">components/</w:t>
        <w:br/>
        <w:t xml:space="preserve">  CTSSurvey.js         Main orchestrator: sections, navigation, REDCap banner</w:t>
        <w:br/>
        <w:t xml:space="preserve">  sections/            DiagnosticQuestions, HandDiagrams, Results</w:t>
        <w:br/>
        <w:t xml:space="preserve">  HandDiagramCanvas.js One drawing canvas + Clear button</w:t>
        <w:br/>
        <w:t xml:space="preserve">  *Modal.js            Idle warning, empty-diagram confirmation, base modal</w:t>
        <w:br/>
        <w:t xml:space="preserve">  ErrorBoundary.js     Friendly error page with Reload</w:t>
        <w:br/>
        <w:t xml:space="preserve">data/                  Questions, thresholds, colours, region list, timeouts</w:t>
        <w:br/>
        <w:t xml:space="preserve">hooks/                 Drawing, scoring, export, tours, idle timeout, REDCap</w:t>
        <w:br/>
        <w:t xml:space="preserve">lib/                   Pure logic: scoring, canvas, tours, REDCap client</w:t>
        <w:br/>
        <w:t xml:space="preserve">functions/api/         Cloudflare Pages Functions for REDCap (redcap branch)</w:t>
        <w:br/>
        <w:t xml:space="preserve">public/                Hand outlines, security headers, robots.txt</w:t>
        <w:br/>
        <w:t xml:space="preserve">tests/                 Vitest unit tests</w:t>
      </w:r>
    </w:p>
    <w:p>
      <w:pPr>
        <w:pStyle w:val="Heading3"/>
        <w:keepNext/>
        <w:keepLines/>
      </w:pPr>
      <w:r>
        <w:t>Where common changes are made</w:t>
      </w:r>
    </w:p>
    <w:p>
      <w:pPr>
        <w:spacing w:after="120"/>
      </w:pPr>
      <w:r>
        <w:rPr/>
        <w:t xml:space="preserve">The Walkthrough, Section 2, covers running the app locally and the change-and-review workflow. This table maps common changes to the files involved.</w:t>
      </w:r>
    </w:p>
    <w:tbl>
      <w:tblPr>
        <w:tblW w:w="9360" w:type="dxa"/>
        <w:tblLayout w:type="fixed"/>
      </w:tblPr>
      <w:tblGrid>
        <w:gridCol w:w="3243"/>
        <w:gridCol w:w="6116"/>
      </w:tblGrid>
      <w:tr>
        <w:trPr>
          <w:tblHeader/>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Change</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1F3A5F"/>
            <w:tcMar>
              <w:top w:w="60" w:type="dxa"/>
              <w:left w:w="100" w:type="dxa"/>
              <w:bottom w:w="60" w:type="dxa"/>
              <w:right w:w="100" w:type="dxa"/>
            </w:tcMar>
          </w:tcPr>
          <w:p>
            <w:r>
              <w:rPr>
                <w:b/>
                <w:sz w:val="20"/>
                <w:szCs w:val="20"/>
                <w:color w:val="FFFFFF"/>
              </w:rPr>
              <w:t xml:space="preserve">Where</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Question wording, order, gateways, REDCap field names</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rFonts w:ascii="Consolas" w:hAnsi="Consolas" w:cs="Consolas"/>
                <w:color w:val="333333"/>
                <w:sz w:val="19"/>
                <w:szCs w:val="19"/>
              </w:rPr>
              <w:t xml:space="preserve">data/diagnosticQuestions.js</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Kamath weights and cut-offs</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rFonts w:ascii="Consolas" w:hAnsi="Consolas" w:cs="Consolas"/>
                <w:color w:val="333333"/>
                <w:sz w:val="19"/>
                <w:szCs w:val="19"/>
              </w:rPr>
              <w:t xml:space="preserve">lib/kamathScoring.js</w:t>
            </w:r>
            <w:r>
              <w:rPr>
                <w:sz w:val="20"/>
                <w:szCs w:val="20"/>
              </w:rPr>
              <w:t xml:space="preserve"> (</w:t>
            </w:r>
            <w:r>
              <w:rPr>
                <w:rFonts w:ascii="Consolas" w:hAnsi="Consolas" w:cs="Consolas"/>
                <w:color w:val="333333"/>
                <w:sz w:val="19"/>
                <w:szCs w:val="19"/>
              </w:rPr>
              <w:t xml:space="preserve">kamathQuestionWeights</w:t>
            </w:r>
            <w:r>
              <w:rPr>
                <w:sz w:val="20"/>
                <w:szCs w:val="20"/>
              </w:rPr>
              <w:t xml:space="preserve">, </w:t>
            </w:r>
            <w:r>
              <w:rPr>
                <w:rFonts w:ascii="Consolas" w:hAnsi="Consolas" w:cs="Consolas"/>
                <w:color w:val="333333"/>
                <w:sz w:val="19"/>
                <w:szCs w:val="19"/>
              </w:rPr>
              <w:t xml:space="preserve">KAMATH_BANDS</w:t>
            </w:r>
            <w:r>
              <w:rPr>
                <w:sz w:val="20"/>
                <w:szCs w:val="20"/>
              </w:rPr>
              <w:t xml:space="preserve">)</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Katz thresholds (5%, 50%)</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rFonts w:ascii="Consolas" w:hAnsi="Consolas" w:cs="Consolas"/>
                <w:color w:val="333333"/>
                <w:sz w:val="19"/>
                <w:szCs w:val="19"/>
              </w:rPr>
              <w:t xml:space="preserve">data/constants.js</w:t>
            </w:r>
            <w:r>
              <w:rPr>
                <w:sz w:val="20"/>
                <w:szCs w:val="20"/>
              </w:rPr>
              <w:t xml:space="preserve"> (</w:t>
            </w:r>
            <w:r>
              <w:rPr>
                <w:rFonts w:ascii="Consolas" w:hAnsi="Consolas" w:cs="Consolas"/>
                <w:color w:val="333333"/>
                <w:sz w:val="19"/>
                <w:szCs w:val="19"/>
              </w:rPr>
              <w:t xml:space="preserve">MIN_THRESHOLD</w:t>
            </w:r>
            <w:r>
              <w:rPr>
                <w:sz w:val="20"/>
                <w:szCs w:val="20"/>
              </w:rPr>
              <w:t xml:space="preserve">, </w:t>
            </w:r>
            <w:r>
              <w:rPr>
                <w:rFonts w:ascii="Consolas" w:hAnsi="Consolas" w:cs="Consolas"/>
                <w:color w:val="333333"/>
                <w:sz w:val="19"/>
                <w:szCs w:val="19"/>
              </w:rPr>
              <w:t xml:space="preserve">HALF_THRESHOLD</w:t>
            </w:r>
            <w:r>
              <w:rPr>
                <w:sz w:val="20"/>
                <w:szCs w:val="20"/>
              </w:rPr>
              <w:t xml:space="preserve">)</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Katz classification rules</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rFonts w:ascii="Consolas" w:hAnsi="Consolas" w:cs="Consolas"/>
                <w:color w:val="333333"/>
                <w:sz w:val="19"/>
                <w:szCs w:val="19"/>
              </w:rPr>
              <w:t xml:space="preserve">calculateKatzScore</w:t>
            </w:r>
            <w:r>
              <w:rPr>
                <w:sz w:val="20"/>
                <w:szCs w:val="20"/>
              </w:rPr>
              <w:t xml:space="preserve"> in </w:t>
            </w:r>
            <w:r>
              <w:rPr>
                <w:rFonts w:ascii="Consolas" w:hAnsi="Consolas" w:cs="Consolas"/>
                <w:color w:val="333333"/>
                <w:sz w:val="19"/>
                <w:szCs w:val="19"/>
              </w:rPr>
              <w:t xml:space="preserve">lib/katzScoring.js</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Hand regions</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rFonts w:ascii="Consolas" w:hAnsi="Consolas" w:cs="Consolas"/>
                <w:color w:val="333333"/>
                <w:sz w:val="19"/>
                <w:szCs w:val="19"/>
              </w:rPr>
              <w:t xml:space="preserve">public/hands/*.svg</w:t>
            </w:r>
            <w:r>
              <w:rPr>
                <w:sz w:val="20"/>
                <w:szCs w:val="20"/>
              </w:rPr>
              <w:t xml:space="preserve"> labels and </w:t>
            </w:r>
            <w:r>
              <w:rPr>
                <w:rFonts w:ascii="Consolas" w:hAnsi="Consolas" w:cs="Consolas"/>
                <w:color w:val="333333"/>
                <w:sz w:val="19"/>
                <w:szCs w:val="19"/>
              </w:rPr>
              <w:t xml:space="preserve">KATZ_REGIONS</w:t>
            </w:r>
            <w:r>
              <w:rPr>
                <w:sz w:val="20"/>
                <w:szCs w:val="20"/>
              </w:rPr>
              <w:t xml:space="preserve"> in </w:t>
            </w:r>
            <w:r>
              <w:rPr>
                <w:rFonts w:ascii="Consolas" w:hAnsi="Consolas" w:cs="Consolas"/>
                <w:color w:val="333333"/>
                <w:sz w:val="19"/>
                <w:szCs w:val="19"/>
              </w:rPr>
              <w:t xml:space="preserve">data/constants.js</w:t>
            </w:r>
            <w:r>
              <w:rPr>
                <w:sz w:val="20"/>
                <w:szCs w:val="20"/>
              </w:rPr>
              <w:t xml:space="preserve"> (keep both in sync)</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Symptom colours, brush size</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rFonts w:ascii="Consolas" w:hAnsi="Consolas" w:cs="Consolas"/>
                <w:color w:val="333333"/>
                <w:sz w:val="19"/>
                <w:szCs w:val="19"/>
              </w:rPr>
              <w:t xml:space="preserve">data/constants.js</w:t>
            </w:r>
            <w:r>
              <w:rPr>
                <w:sz w:val="20"/>
                <w:szCs w:val="20"/>
              </w:rPr>
              <w:t xml:space="preserve">, </w:t>
            </w:r>
            <w:r>
              <w:rPr>
                <w:rFonts w:ascii="Consolas" w:hAnsi="Consolas" w:cs="Consolas"/>
                <w:color w:val="333333"/>
                <w:sz w:val="19"/>
                <w:szCs w:val="19"/>
              </w:rPr>
              <w:t xml:space="preserve">lib/canvasUtils.js</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Idle timeout duration</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rFonts w:ascii="Consolas" w:hAnsi="Consolas" w:cs="Consolas"/>
                <w:color w:val="333333"/>
                <w:sz w:val="19"/>
                <w:szCs w:val="19"/>
              </w:rPr>
              <w:t xml:space="preserve">IDLE_TIMEOUT_MS</w:t>
            </w:r>
            <w:r>
              <w:rPr>
                <w:sz w:val="20"/>
                <w:szCs w:val="20"/>
              </w:rPr>
              <w:t xml:space="preserve">, </w:t>
            </w:r>
            <w:r>
              <w:rPr>
                <w:rFonts w:ascii="Consolas" w:hAnsi="Consolas" w:cs="Consolas"/>
                <w:color w:val="333333"/>
                <w:sz w:val="19"/>
                <w:szCs w:val="19"/>
              </w:rPr>
              <w:t xml:space="preserve">IDLE_WARNING_MS</w:t>
            </w:r>
            <w:r>
              <w:rPr>
                <w:sz w:val="20"/>
                <w:szCs w:val="20"/>
              </w:rPr>
              <w:t xml:space="preserve"> in </w:t>
            </w:r>
            <w:r>
              <w:rPr>
                <w:rFonts w:ascii="Consolas" w:hAnsi="Consolas" w:cs="Consolas"/>
                <w:color w:val="333333"/>
                <w:sz w:val="19"/>
                <w:szCs w:val="19"/>
              </w:rPr>
              <w:t xml:space="preserve">data/constants.js</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Tour steps</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rFonts w:ascii="Consolas" w:hAnsi="Consolas" w:cs="Consolas"/>
                <w:color w:val="333333"/>
                <w:sz w:val="19"/>
                <w:szCs w:val="19"/>
              </w:rPr>
              <w:t xml:space="preserve">lib/tourConfig.js</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CSV / REDCap field names and coding</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rFonts w:ascii="Consolas" w:hAnsi="Consolas" w:cs="Consolas"/>
                <w:color w:val="333333"/>
                <w:sz w:val="19"/>
                <w:szCs w:val="19"/>
              </w:rPr>
              <w:t xml:space="preserve">hooks/useExport.js</w:t>
            </w:r>
            <w:r>
              <w:rPr>
                <w:sz w:val="20"/>
                <w:szCs w:val="20"/>
              </w:rPr>
              <w:t xml:space="preserve">, </w:t>
            </w:r>
            <w:r>
              <w:rPr>
                <w:rFonts w:ascii="Consolas" w:hAnsi="Consolas" w:cs="Consolas"/>
                <w:color w:val="333333"/>
                <w:sz w:val="19"/>
                <w:szCs w:val="19"/>
              </w:rPr>
              <w:t xml:space="preserve">functions/api/_lib/redcap.js</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REDCap event names</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rFonts w:ascii="Consolas" w:hAnsi="Consolas" w:cs="Consolas"/>
                <w:color w:val="333333"/>
                <w:sz w:val="19"/>
                <w:szCs w:val="19"/>
              </w:rPr>
              <w:t xml:space="preserve">functions/api/redcap/provision.js</w:t>
            </w:r>
            <w:r>
              <w:rPr>
                <w:sz w:val="20"/>
                <w:szCs w:val="20"/>
              </w:rPr>
              <w:t xml:space="preserve">, </w:t>
            </w:r>
            <w:r>
              <w:rPr>
                <w:rFonts w:ascii="Consolas" w:hAnsi="Consolas" w:cs="Consolas"/>
                <w:color w:val="333333"/>
                <w:sz w:val="19"/>
                <w:szCs w:val="19"/>
              </w:rPr>
              <w:t xml:space="preserve">session.js</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sz w:val="20"/>
                <w:szCs w:val="20"/>
              </w:rPr>
              <w:t xml:space="preserve">Allowed outside websites (CSP), security headers</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FFFFFF"/>
            <w:tcMar>
              <w:top w:w="60" w:type="dxa"/>
              <w:left w:w="100" w:type="dxa"/>
              <w:bottom w:w="60" w:type="dxa"/>
              <w:right w:w="100" w:type="dxa"/>
            </w:tcMar>
          </w:tcPr>
          <w:p>
            <w:r>
              <w:rPr>
                <w:rFonts w:ascii="Consolas" w:hAnsi="Consolas" w:cs="Consolas"/>
                <w:color w:val="333333"/>
                <w:sz w:val="19"/>
                <w:szCs w:val="19"/>
              </w:rPr>
              <w:t xml:space="preserve">public/_headers</w:t>
            </w:r>
          </w:p>
        </w:tc>
      </w:tr>
      <w:tr>
        <w:trPr>
          <w:cantSplit/>
        </w:trPr>
        <w:tc>
          <w:tcPr>
            <w:tcW w:type="dxa" w:w="3243"/>
            <w:tcW w:w="3243"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sz w:val="20"/>
                <w:szCs w:val="20"/>
              </w:rPr>
              <w:t xml:space="preserve">Deploying under a sub-path</w:t>
            </w:r>
          </w:p>
        </w:tc>
        <w:tc>
          <w:tcPr>
            <w:tcW w:type="dxa" w:w="6116"/>
            <w:tcW w:w="6116" w:type="dxa"/>
            <w:tcBorders>
              <w:top w:val="single" w:color="C9D3DD" w:sz="4" w:space="0"/>
              <w:left w:val="single" w:color="C9D3DD" w:sz="4" w:space="0"/>
              <w:bottom w:val="single" w:color="C9D3DD" w:sz="4" w:space="0"/>
              <w:right w:val="single" w:color="C9D3DD" w:sz="4" w:space="0"/>
            </w:tcBorders>
            <w:shd w:val="clear" w:color="auto" w:fill="EEF3F7"/>
            <w:tcMar>
              <w:top w:w="60" w:type="dxa"/>
              <w:left w:w="100" w:type="dxa"/>
              <w:bottom w:w="60" w:type="dxa"/>
              <w:right w:w="100" w:type="dxa"/>
            </w:tcMar>
          </w:tcPr>
          <w:p>
            <w:r>
              <w:rPr>
                <w:rFonts w:ascii="Consolas" w:hAnsi="Consolas" w:cs="Consolas"/>
                <w:color w:val="333333"/>
                <w:sz w:val="19"/>
                <w:szCs w:val="19"/>
              </w:rPr>
              <w:t xml:space="preserve">basePath</w:t>
            </w:r>
            <w:r>
              <w:rPr>
                <w:sz w:val="20"/>
                <w:szCs w:val="20"/>
              </w:rPr>
              <w:t xml:space="preserve"> in </w:t>
            </w:r>
            <w:r>
              <w:rPr>
                <w:rFonts w:ascii="Consolas" w:hAnsi="Consolas" w:cs="Consolas"/>
                <w:color w:val="333333"/>
                <w:sz w:val="19"/>
                <w:szCs w:val="19"/>
              </w:rPr>
              <w:t xml:space="preserve">next.config.mjs</w:t>
            </w:r>
          </w:p>
        </w:tc>
      </w:tr>
    </w:tbl>
    <w:p>
      <w:pPr>
        <w:spacing w:before="0" w:after="60"/>
      </w:pPr>
    </w:p>
    <w:p>
      <w:pPr>
        <w:spacing w:before="60" w:after="120"/>
        <w:ind w:left="180"/>
      </w:pPr>
      <w:r>
        <w:rPr/>
        <w:t xml:space="preserve">If a clinical value or field name is changed, re-run </w:t>
      </w:r>
      <w:r>
        <w:rPr>
          <w:rFonts w:ascii="Consolas" w:hAnsi="Consolas" w:cs="Consolas"/>
          <w:color w:val="333333"/>
          <w:sz w:val="19"/>
          <w:szCs w:val="19"/>
        </w:rPr>
        <w:t xml:space="preserve">npm test</w:t>
      </w:r>
      <w:r>
        <w:rPr/>
        <w:t xml:space="preserve">. The scoring and CSV tests will flag unintended changes. Field-name changes must also be made in the REDCap data dictionary.</w:t>
      </w:r>
    </w:p>
    <w:p>
      <w:pPr>
        <w:pStyle w:val="Heading1"/>
        <w:keepNext/>
        <w:keepLines/>
      </w:pPr>
      <w:r>
        <w:t>9. Open items</w:t>
      </w:r>
    </w:p>
    <w:p>
      <w:pPr>
        <w:spacing w:after="120"/>
      </w:pPr>
      <w:r>
        <w:rPr>
          <w:b/>
        </w:rPr>
        <w:t xml:space="preserve">Decisions (PI / REB)</w:t>
      </w:r>
    </w:p>
    <w:p>
      <w:pPr>
        <w:pStyle w:val="ListParagraph"/>
        <w:numPr>
          <w:ilvl w:val="0"/>
          <w:numId w:val="156"/>
        </w:numPr>
        <w:spacing w:before="0" w:after="60"/>
      </w:pPr>
      <w:r>
        <w:rPr>
          <w:b/>
        </w:rPr>
        <w:t xml:space="preserve">Hosting and data residency.</w:t>
      </w:r>
      <w:r>
        <w:rPr/>
        <w:t xml:space="preserve"> Choose an option from Section 7 (suggested: 2a Western-managed server, with 1a as an interim if in-person collection is possible). Confirm pricing, Western internal rates and REB / TRAC requirements.</w:t>
      </w:r>
    </w:p>
    <w:p>
      <w:pPr>
        <w:pStyle w:val="ListParagraph"/>
        <w:numPr>
          <w:ilvl w:val="0"/>
          <w:numId w:val="156"/>
        </w:numPr>
        <w:spacing w:before="0" w:after="60"/>
      </w:pPr>
      <w:r>
        <w:rPr>
          <w:b/>
        </w:rPr>
        <w:t xml:space="preserve">Free-text comments.</w:t>
      </w:r>
      <w:r>
        <w:rPr/>
        <w:t xml:space="preserve"> Decide whether the two comment boxes are kept in study mode, given that participants may type identifying details (Section 6.1). If kept, add a short instruction not to include personal information.</w:t>
      </w:r>
    </w:p>
    <w:p>
      <w:pPr>
        <w:pStyle w:val="ListParagraph"/>
        <w:numPr>
          <w:ilvl w:val="0"/>
          <w:numId w:val="156"/>
        </w:numPr>
        <w:spacing w:before="0" w:after="60"/>
      </w:pPr>
      <w:r>
        <w:rPr>
          <w:b/>
        </w:rPr>
        <w:t xml:space="preserve">Clinical cut-offs.</w:t>
      </w:r>
      <w:r>
        <w:rPr/>
        <w:t xml:space="preserve"> Confirm the Kamath bands (≤ 2 / 3–4 / ≥ 5) and the Katz thresholds (5% coverage, 50% for index/middle middle segments) for the study.</w:t>
      </w:r>
    </w:p>
    <w:p>
      <w:pPr>
        <w:spacing w:after="120"/>
      </w:pPr>
      <w:r>
        <w:rPr>
          <w:b/>
        </w:rPr>
        <w:t xml:space="preserve">Development</w:t>
      </w:r>
    </w:p>
    <w:p>
      <w:pPr>
        <w:pStyle w:val="ListParagraph"/>
        <w:numPr>
          <w:ilvl w:val="0"/>
          <w:numId w:val="158"/>
        </w:numPr>
        <w:spacing w:before="0" w:after="60"/>
      </w:pPr>
      <w:r>
        <w:rPr>
          <w:b/>
        </w:rPr>
        <w:t xml:space="preserve">Move the REDCap functions</w:t>
      </w:r>
      <w:r>
        <w:rPr/>
        <w:t xml:space="preserve"> off Cloudflare to the chosen host. Steps for a Western-managed server are drafted in the Walkthrough, Section 3.2. Update the Data Entry Trigger URL and the REDCap Alert link to the new address.</w:t>
      </w:r>
    </w:p>
    <w:p>
      <w:pPr>
        <w:pStyle w:val="ListParagraph"/>
        <w:numPr>
          <w:ilvl w:val="0"/>
          <w:numId w:val="158"/>
        </w:numPr>
        <w:spacing w:before="0" w:after="60"/>
      </w:pPr>
      <w:r>
        <w:rPr>
          <w:b/>
        </w:rPr>
        <w:t xml:space="preserve">Merge </w:t>
      </w:r>
      <w:r>
        <w:rPr>
          <w:b/>
          <w:rFonts w:ascii="Consolas" w:hAnsi="Consolas" w:cs="Consolas"/>
          <w:color w:val="333333"/>
          <w:sz w:val="19"/>
          <w:szCs w:val="19"/>
        </w:rPr>
        <w:t xml:space="preserve">redcap</w:t>
      </w:r>
      <w:r>
        <w:rPr>
          <w:b/>
        </w:rPr>
        <w:t xml:space="preserve"> into </w:t>
      </w:r>
      <w:r>
        <w:rPr>
          <w:b/>
          <w:rFonts w:ascii="Consolas" w:hAnsi="Consolas" w:cs="Consolas"/>
          <w:color w:val="333333"/>
          <w:sz w:val="19"/>
          <w:szCs w:val="19"/>
        </w:rPr>
        <w:t xml:space="preserve">main</w:t>
      </w:r>
      <w:r>
        <w:rPr/>
        <w:t xml:space="preserve"> once the new hosting design is in place, so there is a single source of truth. Until then, </w:t>
      </w:r>
      <w:r>
        <w:rPr>
          <w:rFonts w:ascii="Consolas" w:hAnsi="Consolas" w:cs="Consolas"/>
          <w:color w:val="333333"/>
          <w:sz w:val="19"/>
          <w:szCs w:val="19"/>
        </w:rPr>
        <w:t xml:space="preserve">main</w:t>
      </w:r>
      <w:r>
        <w:rPr/>
        <w:t xml:space="preserve"> still has the Print button bug fixed on </w:t>
      </w:r>
      <w:r>
        <w:rPr>
          <w:rFonts w:ascii="Consolas" w:hAnsi="Consolas" w:cs="Consolas"/>
          <w:color w:val="333333"/>
          <w:sz w:val="19"/>
          <w:szCs w:val="19"/>
        </w:rPr>
        <w:t xml:space="preserve">redcap</w:t>
      </w:r>
      <w:r>
        <w:rPr/>
        <w:t xml:space="preserve">.</w:t>
      </w:r>
    </w:p>
    <w:p>
      <w:pPr>
        <w:pStyle w:val="ListParagraph"/>
        <w:numPr>
          <w:ilvl w:val="0"/>
          <w:numId w:val="158"/>
        </w:numPr>
        <w:spacing w:before="0" w:after="60"/>
      </w:pPr>
      <w:r>
        <w:rPr>
          <w:b/>
        </w:rPr>
        <w:t xml:space="preserve">Timestamp source.</w:t>
      </w:r>
      <w:r>
        <w:rPr/>
        <w:t xml:space="preserve"> The submission timestamp comes from the participant's device clock and time zone. Consider stamping it on the server instead.</w:t>
      </w:r>
    </w:p>
    <w:sectPr w:rsidR="005255DD">
      <w:pgSz w:w="12240" w:h="15840" w:orient="portrait"/>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21">
    <w:nsid w:val="4a6ee18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2B1835"/>
    <w:multiLevelType w:val="hybridMultilevel"/>
    <w:tmpl w:val="9B5A37A8"/>
    <w:lvl w:ilvl="0" w:tplc="74BCACAC">
      <w:start w:val="1"/>
      <w:numFmt w:val="decimal"/>
      <w:lvlText w:val="%1."/>
      <w:lvlJc w:val="left"/>
      <w:pPr>
        <w:ind w:left="540" w:hanging="360"/>
      </w:pPr>
    </w:lvl>
    <w:lvl w:ilvl="1" w:tplc="F13400F2">
      <w:numFmt w:val="decimal"/>
      <w:lvlText w:val=""/>
      <w:lvlJc w:val="left"/>
    </w:lvl>
    <w:lvl w:ilvl="2" w:tplc="8DFA2896">
      <w:numFmt w:val="decimal"/>
      <w:lvlText w:val=""/>
      <w:lvlJc w:val="left"/>
    </w:lvl>
    <w:lvl w:ilvl="3" w:tplc="6DEC5FD8">
      <w:numFmt w:val="decimal"/>
      <w:lvlText w:val=""/>
      <w:lvlJc w:val="left"/>
    </w:lvl>
    <w:lvl w:ilvl="4" w:tplc="602ABDE6">
      <w:numFmt w:val="decimal"/>
      <w:lvlText w:val=""/>
      <w:lvlJc w:val="left"/>
    </w:lvl>
    <w:lvl w:ilvl="5" w:tplc="C678A0CE">
      <w:numFmt w:val="decimal"/>
      <w:lvlText w:val=""/>
      <w:lvlJc w:val="left"/>
    </w:lvl>
    <w:lvl w:ilvl="6" w:tplc="791812EA">
      <w:numFmt w:val="decimal"/>
      <w:lvlText w:val=""/>
      <w:lvlJc w:val="left"/>
    </w:lvl>
    <w:lvl w:ilvl="7" w:tplc="0118302E">
      <w:numFmt w:val="decimal"/>
      <w:lvlText w:val=""/>
      <w:lvlJc w:val="left"/>
    </w:lvl>
    <w:lvl w:ilvl="8" w:tplc="B70A6B3A">
      <w:numFmt w:val="decimal"/>
      <w:lvlText w:val=""/>
      <w:lvlJc w:val="left"/>
    </w:lvl>
  </w:abstractNum>
  <w:abstractNum w:abstractNumId="1" w15:restartNumberingAfterBreak="0">
    <w:nsid w:val="029408C4"/>
    <w:multiLevelType w:val="hybridMultilevel"/>
    <w:tmpl w:val="D0FE2DE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07D05F64"/>
    <w:multiLevelType w:val="hybridMultilevel"/>
    <w:tmpl w:val="7CAAF80E"/>
    <w:lvl w:ilvl="0" w:tplc="E96EA4DA">
      <w:start w:val="1"/>
      <w:numFmt w:val="bullet"/>
      <w:lvlText w:val="•"/>
      <w:lvlJc w:val="left"/>
      <w:pPr>
        <w:ind w:left="540" w:hanging="360"/>
      </w:pPr>
    </w:lvl>
    <w:lvl w:ilvl="1" w:tplc="C57C9B5A">
      <w:start w:val="1"/>
      <w:numFmt w:val="bullet"/>
      <w:lvlText w:val="–"/>
      <w:lvlJc w:val="left"/>
      <w:pPr>
        <w:ind w:left="1080" w:hanging="360"/>
      </w:pPr>
    </w:lvl>
    <w:lvl w:ilvl="2" w:tplc="4118A642">
      <w:numFmt w:val="decimal"/>
      <w:lvlText w:val=""/>
      <w:lvlJc w:val="left"/>
    </w:lvl>
    <w:lvl w:ilvl="3" w:tplc="CA968B90">
      <w:numFmt w:val="decimal"/>
      <w:lvlText w:val=""/>
      <w:lvlJc w:val="left"/>
    </w:lvl>
    <w:lvl w:ilvl="4" w:tplc="74E26DCA">
      <w:numFmt w:val="decimal"/>
      <w:lvlText w:val=""/>
      <w:lvlJc w:val="left"/>
    </w:lvl>
    <w:lvl w:ilvl="5" w:tplc="3880D596">
      <w:numFmt w:val="decimal"/>
      <w:lvlText w:val=""/>
      <w:lvlJc w:val="left"/>
    </w:lvl>
    <w:lvl w:ilvl="6" w:tplc="81C61D7C">
      <w:numFmt w:val="decimal"/>
      <w:lvlText w:val=""/>
      <w:lvlJc w:val="left"/>
    </w:lvl>
    <w:lvl w:ilvl="7" w:tplc="9AD8E5A0">
      <w:numFmt w:val="decimal"/>
      <w:lvlText w:val=""/>
      <w:lvlJc w:val="left"/>
    </w:lvl>
    <w:lvl w:ilvl="8" w:tplc="B3262EF6">
      <w:numFmt w:val="decimal"/>
      <w:lvlText w:val=""/>
      <w:lvlJc w:val="left"/>
    </w:lvl>
  </w:abstractNum>
  <w:abstractNum w:abstractNumId="3" w15:restartNumberingAfterBreak="0">
    <w:nsid w:val="0D176D81"/>
    <w:multiLevelType w:val="hybridMultilevel"/>
    <w:tmpl w:val="886AAD56"/>
    <w:lvl w:ilvl="0" w:tplc="3D122D28">
      <w:start w:val="1"/>
      <w:numFmt w:val="bullet"/>
      <w:lvlText w:val="•"/>
      <w:lvlJc w:val="left"/>
      <w:pPr>
        <w:ind w:left="540" w:hanging="360"/>
      </w:pPr>
    </w:lvl>
    <w:lvl w:ilvl="1" w:tplc="9ECA1CAA">
      <w:start w:val="1"/>
      <w:numFmt w:val="bullet"/>
      <w:lvlText w:val="–"/>
      <w:lvlJc w:val="left"/>
      <w:pPr>
        <w:ind w:left="1080" w:hanging="360"/>
      </w:pPr>
    </w:lvl>
    <w:lvl w:ilvl="2" w:tplc="E52091D6">
      <w:numFmt w:val="decimal"/>
      <w:lvlText w:val=""/>
      <w:lvlJc w:val="left"/>
    </w:lvl>
    <w:lvl w:ilvl="3" w:tplc="59F0D486">
      <w:numFmt w:val="decimal"/>
      <w:lvlText w:val=""/>
      <w:lvlJc w:val="left"/>
    </w:lvl>
    <w:lvl w:ilvl="4" w:tplc="928EF20C">
      <w:numFmt w:val="decimal"/>
      <w:lvlText w:val=""/>
      <w:lvlJc w:val="left"/>
    </w:lvl>
    <w:lvl w:ilvl="5" w:tplc="5C8617F4">
      <w:numFmt w:val="decimal"/>
      <w:lvlText w:val=""/>
      <w:lvlJc w:val="left"/>
    </w:lvl>
    <w:lvl w:ilvl="6" w:tplc="5B4E3992">
      <w:numFmt w:val="decimal"/>
      <w:lvlText w:val=""/>
      <w:lvlJc w:val="left"/>
    </w:lvl>
    <w:lvl w:ilvl="7" w:tplc="1E5AC776">
      <w:numFmt w:val="decimal"/>
      <w:lvlText w:val=""/>
      <w:lvlJc w:val="left"/>
    </w:lvl>
    <w:lvl w:ilvl="8" w:tplc="6C86CA54">
      <w:numFmt w:val="decimal"/>
      <w:lvlText w:val=""/>
      <w:lvlJc w:val="left"/>
    </w:lvl>
  </w:abstractNum>
  <w:abstractNum w:abstractNumId="4" w15:restartNumberingAfterBreak="0">
    <w:nsid w:val="0FEF0366"/>
    <w:multiLevelType w:val="hybridMultilevel"/>
    <w:tmpl w:val="118C7FD8"/>
    <w:lvl w:ilvl="0" w:tplc="EEA6D7BE">
      <w:start w:val="1"/>
      <w:numFmt w:val="decimal"/>
      <w:lvlText w:val="%1."/>
      <w:lvlJc w:val="left"/>
      <w:pPr>
        <w:ind w:left="540" w:hanging="360"/>
      </w:pPr>
    </w:lvl>
    <w:lvl w:ilvl="1" w:tplc="3F32F3D6">
      <w:numFmt w:val="decimal"/>
      <w:lvlText w:val=""/>
      <w:lvlJc w:val="left"/>
    </w:lvl>
    <w:lvl w:ilvl="2" w:tplc="DADA8CD8">
      <w:numFmt w:val="decimal"/>
      <w:lvlText w:val=""/>
      <w:lvlJc w:val="left"/>
    </w:lvl>
    <w:lvl w:ilvl="3" w:tplc="D3F847CA">
      <w:numFmt w:val="decimal"/>
      <w:lvlText w:val=""/>
      <w:lvlJc w:val="left"/>
    </w:lvl>
    <w:lvl w:ilvl="4" w:tplc="5F2229FC">
      <w:numFmt w:val="decimal"/>
      <w:lvlText w:val=""/>
      <w:lvlJc w:val="left"/>
    </w:lvl>
    <w:lvl w:ilvl="5" w:tplc="205248AC">
      <w:numFmt w:val="decimal"/>
      <w:lvlText w:val=""/>
      <w:lvlJc w:val="left"/>
    </w:lvl>
    <w:lvl w:ilvl="6" w:tplc="49501574">
      <w:numFmt w:val="decimal"/>
      <w:lvlText w:val=""/>
      <w:lvlJc w:val="left"/>
    </w:lvl>
    <w:lvl w:ilvl="7" w:tplc="7B3C276C">
      <w:numFmt w:val="decimal"/>
      <w:lvlText w:val=""/>
      <w:lvlJc w:val="left"/>
    </w:lvl>
    <w:lvl w:ilvl="8" w:tplc="BD82CEAE">
      <w:numFmt w:val="decimal"/>
      <w:lvlText w:val=""/>
      <w:lvlJc w:val="left"/>
    </w:lvl>
  </w:abstractNum>
  <w:abstractNum w:abstractNumId="5" w15:restartNumberingAfterBreak="0">
    <w:nsid w:val="10890DDA"/>
    <w:multiLevelType w:val="hybridMultilevel"/>
    <w:tmpl w:val="44F02F32"/>
    <w:lvl w:ilvl="0" w:tplc="F242824C">
      <w:start w:val="1"/>
      <w:numFmt w:val="decimal"/>
      <w:lvlText w:val="%1."/>
      <w:lvlJc w:val="left"/>
      <w:pPr>
        <w:ind w:left="540" w:hanging="360"/>
      </w:pPr>
    </w:lvl>
    <w:lvl w:ilvl="1" w:tplc="3CE8E836">
      <w:numFmt w:val="decimal"/>
      <w:lvlText w:val=""/>
      <w:lvlJc w:val="left"/>
    </w:lvl>
    <w:lvl w:ilvl="2" w:tplc="21B6C826">
      <w:numFmt w:val="decimal"/>
      <w:lvlText w:val=""/>
      <w:lvlJc w:val="left"/>
    </w:lvl>
    <w:lvl w:ilvl="3" w:tplc="DAE4DB72">
      <w:numFmt w:val="decimal"/>
      <w:lvlText w:val=""/>
      <w:lvlJc w:val="left"/>
    </w:lvl>
    <w:lvl w:ilvl="4" w:tplc="3AAE6F5C">
      <w:numFmt w:val="decimal"/>
      <w:lvlText w:val=""/>
      <w:lvlJc w:val="left"/>
    </w:lvl>
    <w:lvl w:ilvl="5" w:tplc="967A309A">
      <w:numFmt w:val="decimal"/>
      <w:lvlText w:val=""/>
      <w:lvlJc w:val="left"/>
    </w:lvl>
    <w:lvl w:ilvl="6" w:tplc="FBC43470">
      <w:numFmt w:val="decimal"/>
      <w:lvlText w:val=""/>
      <w:lvlJc w:val="left"/>
    </w:lvl>
    <w:lvl w:ilvl="7" w:tplc="274620A4">
      <w:numFmt w:val="decimal"/>
      <w:lvlText w:val=""/>
      <w:lvlJc w:val="left"/>
    </w:lvl>
    <w:lvl w:ilvl="8" w:tplc="93EC6766">
      <w:numFmt w:val="decimal"/>
      <w:lvlText w:val=""/>
      <w:lvlJc w:val="left"/>
    </w:lvl>
  </w:abstractNum>
  <w:abstractNum w:abstractNumId="6" w15:restartNumberingAfterBreak="0">
    <w:nsid w:val="13066F1B"/>
    <w:multiLevelType w:val="hybridMultilevel"/>
    <w:tmpl w:val="42AC36A4"/>
    <w:lvl w:ilvl="0" w:tplc="98A22DDA">
      <w:start w:val="1"/>
      <w:numFmt w:val="decimal"/>
      <w:lvlText w:val="%1."/>
      <w:lvlJc w:val="left"/>
      <w:pPr>
        <w:ind w:left="540" w:hanging="360"/>
      </w:pPr>
    </w:lvl>
    <w:lvl w:ilvl="1" w:tplc="81C04A3A">
      <w:numFmt w:val="decimal"/>
      <w:lvlText w:val=""/>
      <w:lvlJc w:val="left"/>
    </w:lvl>
    <w:lvl w:ilvl="2" w:tplc="14AEA20A">
      <w:numFmt w:val="decimal"/>
      <w:lvlText w:val=""/>
      <w:lvlJc w:val="left"/>
    </w:lvl>
    <w:lvl w:ilvl="3" w:tplc="DE807F9E">
      <w:numFmt w:val="decimal"/>
      <w:lvlText w:val=""/>
      <w:lvlJc w:val="left"/>
    </w:lvl>
    <w:lvl w:ilvl="4" w:tplc="494C50C6">
      <w:numFmt w:val="decimal"/>
      <w:lvlText w:val=""/>
      <w:lvlJc w:val="left"/>
    </w:lvl>
    <w:lvl w:ilvl="5" w:tplc="5022A6CA">
      <w:numFmt w:val="decimal"/>
      <w:lvlText w:val=""/>
      <w:lvlJc w:val="left"/>
    </w:lvl>
    <w:lvl w:ilvl="6" w:tplc="1F8E1214">
      <w:numFmt w:val="decimal"/>
      <w:lvlText w:val=""/>
      <w:lvlJc w:val="left"/>
    </w:lvl>
    <w:lvl w:ilvl="7" w:tplc="0B6EDFAA">
      <w:numFmt w:val="decimal"/>
      <w:lvlText w:val=""/>
      <w:lvlJc w:val="left"/>
    </w:lvl>
    <w:lvl w:ilvl="8" w:tplc="27C8706E">
      <w:numFmt w:val="decimal"/>
      <w:lvlText w:val=""/>
      <w:lvlJc w:val="left"/>
    </w:lvl>
  </w:abstractNum>
  <w:abstractNum w:abstractNumId="7" w15:restartNumberingAfterBreak="0">
    <w:nsid w:val="1570290A"/>
    <w:multiLevelType w:val="hybridMultilevel"/>
    <w:tmpl w:val="3488B474"/>
    <w:lvl w:ilvl="0" w:tplc="73D06D2E">
      <w:start w:val="1"/>
      <w:numFmt w:val="decimal"/>
      <w:lvlText w:val="%1."/>
      <w:lvlJc w:val="left"/>
      <w:pPr>
        <w:ind w:left="540" w:hanging="360"/>
      </w:pPr>
    </w:lvl>
    <w:lvl w:ilvl="1" w:tplc="074C3858">
      <w:numFmt w:val="decimal"/>
      <w:lvlText w:val=""/>
      <w:lvlJc w:val="left"/>
    </w:lvl>
    <w:lvl w:ilvl="2" w:tplc="D5DE20E4">
      <w:numFmt w:val="decimal"/>
      <w:lvlText w:val=""/>
      <w:lvlJc w:val="left"/>
    </w:lvl>
    <w:lvl w:ilvl="3" w:tplc="2B2EE826">
      <w:numFmt w:val="decimal"/>
      <w:lvlText w:val=""/>
      <w:lvlJc w:val="left"/>
    </w:lvl>
    <w:lvl w:ilvl="4" w:tplc="C0B803D8">
      <w:numFmt w:val="decimal"/>
      <w:lvlText w:val=""/>
      <w:lvlJc w:val="left"/>
    </w:lvl>
    <w:lvl w:ilvl="5" w:tplc="AF587750">
      <w:numFmt w:val="decimal"/>
      <w:lvlText w:val=""/>
      <w:lvlJc w:val="left"/>
    </w:lvl>
    <w:lvl w:ilvl="6" w:tplc="93EC472A">
      <w:numFmt w:val="decimal"/>
      <w:lvlText w:val=""/>
      <w:lvlJc w:val="left"/>
    </w:lvl>
    <w:lvl w:ilvl="7" w:tplc="92322CEE">
      <w:numFmt w:val="decimal"/>
      <w:lvlText w:val=""/>
      <w:lvlJc w:val="left"/>
    </w:lvl>
    <w:lvl w:ilvl="8" w:tplc="258A71D0">
      <w:numFmt w:val="decimal"/>
      <w:lvlText w:val=""/>
      <w:lvlJc w:val="left"/>
    </w:lvl>
  </w:abstractNum>
  <w:abstractNum w:abstractNumId="8" w15:restartNumberingAfterBreak="0">
    <w:nsid w:val="1F292DE7"/>
    <w:multiLevelType w:val="hybridMultilevel"/>
    <w:tmpl w:val="8232426A"/>
    <w:lvl w:ilvl="0" w:tplc="65F28496">
      <w:start w:val="1"/>
      <w:numFmt w:val="decimal"/>
      <w:lvlText w:val="%1."/>
      <w:lvlJc w:val="left"/>
      <w:pPr>
        <w:ind w:left="540" w:hanging="360"/>
      </w:pPr>
    </w:lvl>
    <w:lvl w:ilvl="1" w:tplc="D6E6F742">
      <w:numFmt w:val="decimal"/>
      <w:lvlText w:val=""/>
      <w:lvlJc w:val="left"/>
    </w:lvl>
    <w:lvl w:ilvl="2" w:tplc="5E488D22">
      <w:numFmt w:val="decimal"/>
      <w:lvlText w:val=""/>
      <w:lvlJc w:val="left"/>
    </w:lvl>
    <w:lvl w:ilvl="3" w:tplc="DD4E7E16">
      <w:numFmt w:val="decimal"/>
      <w:lvlText w:val=""/>
      <w:lvlJc w:val="left"/>
    </w:lvl>
    <w:lvl w:ilvl="4" w:tplc="82183F8E">
      <w:numFmt w:val="decimal"/>
      <w:lvlText w:val=""/>
      <w:lvlJc w:val="left"/>
    </w:lvl>
    <w:lvl w:ilvl="5" w:tplc="B47A57C6">
      <w:numFmt w:val="decimal"/>
      <w:lvlText w:val=""/>
      <w:lvlJc w:val="left"/>
    </w:lvl>
    <w:lvl w:ilvl="6" w:tplc="C3D8EF74">
      <w:numFmt w:val="decimal"/>
      <w:lvlText w:val=""/>
      <w:lvlJc w:val="left"/>
    </w:lvl>
    <w:lvl w:ilvl="7" w:tplc="C92C4DAA">
      <w:numFmt w:val="decimal"/>
      <w:lvlText w:val=""/>
      <w:lvlJc w:val="left"/>
    </w:lvl>
    <w:lvl w:ilvl="8" w:tplc="F2CE6530">
      <w:numFmt w:val="decimal"/>
      <w:lvlText w:val=""/>
      <w:lvlJc w:val="left"/>
    </w:lvl>
  </w:abstractNum>
  <w:abstractNum w:abstractNumId="9" w15:restartNumberingAfterBreak="0">
    <w:nsid w:val="2E390405"/>
    <w:multiLevelType w:val="hybridMultilevel"/>
    <w:tmpl w:val="DC6CB0C2"/>
    <w:lvl w:ilvl="0" w:tplc="8B6AE980">
      <w:start w:val="1"/>
      <w:numFmt w:val="decimal"/>
      <w:lvlText w:val="%1."/>
      <w:lvlJc w:val="left"/>
      <w:pPr>
        <w:ind w:left="540" w:hanging="360"/>
      </w:pPr>
    </w:lvl>
    <w:lvl w:ilvl="1" w:tplc="93188374">
      <w:numFmt w:val="decimal"/>
      <w:lvlText w:val=""/>
      <w:lvlJc w:val="left"/>
    </w:lvl>
    <w:lvl w:ilvl="2" w:tplc="5B5E7A4C">
      <w:numFmt w:val="decimal"/>
      <w:lvlText w:val=""/>
      <w:lvlJc w:val="left"/>
    </w:lvl>
    <w:lvl w:ilvl="3" w:tplc="4178E7E0">
      <w:numFmt w:val="decimal"/>
      <w:lvlText w:val=""/>
      <w:lvlJc w:val="left"/>
    </w:lvl>
    <w:lvl w:ilvl="4" w:tplc="0C4C05C6">
      <w:numFmt w:val="decimal"/>
      <w:lvlText w:val=""/>
      <w:lvlJc w:val="left"/>
    </w:lvl>
    <w:lvl w:ilvl="5" w:tplc="E1B2F944">
      <w:numFmt w:val="decimal"/>
      <w:lvlText w:val=""/>
      <w:lvlJc w:val="left"/>
    </w:lvl>
    <w:lvl w:ilvl="6" w:tplc="30884472">
      <w:numFmt w:val="decimal"/>
      <w:lvlText w:val=""/>
      <w:lvlJc w:val="left"/>
    </w:lvl>
    <w:lvl w:ilvl="7" w:tplc="51D6EE2E">
      <w:numFmt w:val="decimal"/>
      <w:lvlText w:val=""/>
      <w:lvlJc w:val="left"/>
    </w:lvl>
    <w:lvl w:ilvl="8" w:tplc="21728452">
      <w:numFmt w:val="decimal"/>
      <w:lvlText w:val=""/>
      <w:lvlJc w:val="left"/>
    </w:lvl>
  </w:abstractNum>
  <w:abstractNum w:abstractNumId="10" w15:restartNumberingAfterBreak="0">
    <w:nsid w:val="2F3B15AA"/>
    <w:multiLevelType w:val="hybridMultilevel"/>
    <w:tmpl w:val="96FA5FD8"/>
    <w:lvl w:ilvl="0" w:tplc="3620E564">
      <w:start w:val="1"/>
      <w:numFmt w:val="decimal"/>
      <w:lvlText w:val="%1."/>
      <w:lvlJc w:val="left"/>
      <w:pPr>
        <w:ind w:left="540" w:hanging="360"/>
      </w:pPr>
    </w:lvl>
    <w:lvl w:ilvl="1" w:tplc="E42639DE">
      <w:numFmt w:val="decimal"/>
      <w:lvlText w:val=""/>
      <w:lvlJc w:val="left"/>
    </w:lvl>
    <w:lvl w:ilvl="2" w:tplc="7ED2B682">
      <w:numFmt w:val="decimal"/>
      <w:lvlText w:val=""/>
      <w:lvlJc w:val="left"/>
    </w:lvl>
    <w:lvl w:ilvl="3" w:tplc="21F07964">
      <w:numFmt w:val="decimal"/>
      <w:lvlText w:val=""/>
      <w:lvlJc w:val="left"/>
    </w:lvl>
    <w:lvl w:ilvl="4" w:tplc="59FA46D2">
      <w:numFmt w:val="decimal"/>
      <w:lvlText w:val=""/>
      <w:lvlJc w:val="left"/>
    </w:lvl>
    <w:lvl w:ilvl="5" w:tplc="728E3428">
      <w:numFmt w:val="decimal"/>
      <w:lvlText w:val=""/>
      <w:lvlJc w:val="left"/>
    </w:lvl>
    <w:lvl w:ilvl="6" w:tplc="5CEE7F24">
      <w:numFmt w:val="decimal"/>
      <w:lvlText w:val=""/>
      <w:lvlJc w:val="left"/>
    </w:lvl>
    <w:lvl w:ilvl="7" w:tplc="EA34950A">
      <w:numFmt w:val="decimal"/>
      <w:lvlText w:val=""/>
      <w:lvlJc w:val="left"/>
    </w:lvl>
    <w:lvl w:ilvl="8" w:tplc="1778B506">
      <w:numFmt w:val="decimal"/>
      <w:lvlText w:val=""/>
      <w:lvlJc w:val="left"/>
    </w:lvl>
  </w:abstractNum>
  <w:abstractNum w:abstractNumId="11" w15:restartNumberingAfterBreak="0">
    <w:nsid w:val="35D60BB0"/>
    <w:multiLevelType w:val="hybridMultilevel"/>
    <w:tmpl w:val="0AA8434E"/>
    <w:lvl w:ilvl="0" w:tplc="8C0E6E34">
      <w:start w:val="1"/>
      <w:numFmt w:val="decimal"/>
      <w:lvlText w:val="%1."/>
      <w:lvlJc w:val="left"/>
      <w:pPr>
        <w:ind w:left="540" w:hanging="360"/>
      </w:pPr>
    </w:lvl>
    <w:lvl w:ilvl="1" w:tplc="2060535E">
      <w:numFmt w:val="decimal"/>
      <w:lvlText w:val=""/>
      <w:lvlJc w:val="left"/>
    </w:lvl>
    <w:lvl w:ilvl="2" w:tplc="D6BEB6F6">
      <w:numFmt w:val="decimal"/>
      <w:lvlText w:val=""/>
      <w:lvlJc w:val="left"/>
    </w:lvl>
    <w:lvl w:ilvl="3" w:tplc="80362A8C">
      <w:numFmt w:val="decimal"/>
      <w:lvlText w:val=""/>
      <w:lvlJc w:val="left"/>
    </w:lvl>
    <w:lvl w:ilvl="4" w:tplc="96D87E4C">
      <w:numFmt w:val="decimal"/>
      <w:lvlText w:val=""/>
      <w:lvlJc w:val="left"/>
    </w:lvl>
    <w:lvl w:ilvl="5" w:tplc="94DEA1E8">
      <w:numFmt w:val="decimal"/>
      <w:lvlText w:val=""/>
      <w:lvlJc w:val="left"/>
    </w:lvl>
    <w:lvl w:ilvl="6" w:tplc="E764748C">
      <w:numFmt w:val="decimal"/>
      <w:lvlText w:val=""/>
      <w:lvlJc w:val="left"/>
    </w:lvl>
    <w:lvl w:ilvl="7" w:tplc="7FC8ADEA">
      <w:numFmt w:val="decimal"/>
      <w:lvlText w:val=""/>
      <w:lvlJc w:val="left"/>
    </w:lvl>
    <w:lvl w:ilvl="8" w:tplc="8864EB12">
      <w:numFmt w:val="decimal"/>
      <w:lvlText w:val=""/>
      <w:lvlJc w:val="left"/>
    </w:lvl>
  </w:abstractNum>
  <w:abstractNum w:abstractNumId="12" w15:restartNumberingAfterBreak="0">
    <w:nsid w:val="45A45DDE"/>
    <w:multiLevelType w:val="hybridMultilevel"/>
    <w:tmpl w:val="A54CE484"/>
    <w:lvl w:ilvl="0" w:tplc="4F04B164">
      <w:start w:val="1"/>
      <w:numFmt w:val="decimal"/>
      <w:lvlText w:val="%1."/>
      <w:lvlJc w:val="left"/>
      <w:pPr>
        <w:ind w:left="540" w:hanging="360"/>
      </w:pPr>
    </w:lvl>
    <w:lvl w:ilvl="1" w:tplc="F39AFD06">
      <w:numFmt w:val="decimal"/>
      <w:lvlText w:val=""/>
      <w:lvlJc w:val="left"/>
    </w:lvl>
    <w:lvl w:ilvl="2" w:tplc="52A6FE6E">
      <w:numFmt w:val="decimal"/>
      <w:lvlText w:val=""/>
      <w:lvlJc w:val="left"/>
    </w:lvl>
    <w:lvl w:ilvl="3" w:tplc="63EE0C36">
      <w:numFmt w:val="decimal"/>
      <w:lvlText w:val=""/>
      <w:lvlJc w:val="left"/>
    </w:lvl>
    <w:lvl w:ilvl="4" w:tplc="E230D6B2">
      <w:numFmt w:val="decimal"/>
      <w:lvlText w:val=""/>
      <w:lvlJc w:val="left"/>
    </w:lvl>
    <w:lvl w:ilvl="5" w:tplc="F37697AA">
      <w:numFmt w:val="decimal"/>
      <w:lvlText w:val=""/>
      <w:lvlJc w:val="left"/>
    </w:lvl>
    <w:lvl w:ilvl="6" w:tplc="D9E0E86E">
      <w:numFmt w:val="decimal"/>
      <w:lvlText w:val=""/>
      <w:lvlJc w:val="left"/>
    </w:lvl>
    <w:lvl w:ilvl="7" w:tplc="7B862F6A">
      <w:numFmt w:val="decimal"/>
      <w:lvlText w:val=""/>
      <w:lvlJc w:val="left"/>
    </w:lvl>
    <w:lvl w:ilvl="8" w:tplc="3A0C6754">
      <w:numFmt w:val="decimal"/>
      <w:lvlText w:val=""/>
      <w:lvlJc w:val="left"/>
    </w:lvl>
  </w:abstractNum>
  <w:abstractNum w:abstractNumId="13" w15:restartNumberingAfterBreak="0">
    <w:nsid w:val="47B115F9"/>
    <w:multiLevelType w:val="hybridMultilevel"/>
    <w:tmpl w:val="299A8616"/>
    <w:lvl w:ilvl="0" w:tplc="729661CC">
      <w:start w:val="1"/>
      <w:numFmt w:val="decimal"/>
      <w:lvlText w:val="%1."/>
      <w:lvlJc w:val="left"/>
      <w:pPr>
        <w:ind w:left="540" w:hanging="360"/>
      </w:pPr>
    </w:lvl>
    <w:lvl w:ilvl="1" w:tplc="6A162A3E">
      <w:numFmt w:val="decimal"/>
      <w:lvlText w:val=""/>
      <w:lvlJc w:val="left"/>
    </w:lvl>
    <w:lvl w:ilvl="2" w:tplc="F8902E50">
      <w:numFmt w:val="decimal"/>
      <w:lvlText w:val=""/>
      <w:lvlJc w:val="left"/>
    </w:lvl>
    <w:lvl w:ilvl="3" w:tplc="069CDA52">
      <w:numFmt w:val="decimal"/>
      <w:lvlText w:val=""/>
      <w:lvlJc w:val="left"/>
    </w:lvl>
    <w:lvl w:ilvl="4" w:tplc="19981AC0">
      <w:numFmt w:val="decimal"/>
      <w:lvlText w:val=""/>
      <w:lvlJc w:val="left"/>
    </w:lvl>
    <w:lvl w:ilvl="5" w:tplc="B2FC0060">
      <w:numFmt w:val="decimal"/>
      <w:lvlText w:val=""/>
      <w:lvlJc w:val="left"/>
    </w:lvl>
    <w:lvl w:ilvl="6" w:tplc="B178EFBA">
      <w:numFmt w:val="decimal"/>
      <w:lvlText w:val=""/>
      <w:lvlJc w:val="left"/>
    </w:lvl>
    <w:lvl w:ilvl="7" w:tplc="318ACA84">
      <w:numFmt w:val="decimal"/>
      <w:lvlText w:val=""/>
      <w:lvlJc w:val="left"/>
    </w:lvl>
    <w:lvl w:ilvl="8" w:tplc="C4A6BFB4">
      <w:numFmt w:val="decimal"/>
      <w:lvlText w:val=""/>
      <w:lvlJc w:val="left"/>
    </w:lvl>
  </w:abstractNum>
  <w:abstractNum w:abstractNumId="14" w15:restartNumberingAfterBreak="0">
    <w:nsid w:val="50B32CA0"/>
    <w:multiLevelType w:val="hybridMultilevel"/>
    <w:tmpl w:val="7820012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5CA03721"/>
    <w:multiLevelType w:val="hybridMultilevel"/>
    <w:tmpl w:val="430687F4"/>
    <w:lvl w:ilvl="0" w:tplc="0FAECE68">
      <w:start w:val="1"/>
      <w:numFmt w:val="decimal"/>
      <w:lvlText w:val="%1."/>
      <w:lvlJc w:val="left"/>
      <w:pPr>
        <w:ind w:left="540" w:hanging="360"/>
      </w:pPr>
    </w:lvl>
    <w:lvl w:ilvl="1" w:tplc="F9548D9A">
      <w:numFmt w:val="decimal"/>
      <w:lvlText w:val=""/>
      <w:lvlJc w:val="left"/>
    </w:lvl>
    <w:lvl w:ilvl="2" w:tplc="E0187ABA">
      <w:numFmt w:val="decimal"/>
      <w:lvlText w:val=""/>
      <w:lvlJc w:val="left"/>
    </w:lvl>
    <w:lvl w:ilvl="3" w:tplc="CB7A9B2E">
      <w:numFmt w:val="decimal"/>
      <w:lvlText w:val=""/>
      <w:lvlJc w:val="left"/>
    </w:lvl>
    <w:lvl w:ilvl="4" w:tplc="9CB68234">
      <w:numFmt w:val="decimal"/>
      <w:lvlText w:val=""/>
      <w:lvlJc w:val="left"/>
    </w:lvl>
    <w:lvl w:ilvl="5" w:tplc="9948C37E">
      <w:numFmt w:val="decimal"/>
      <w:lvlText w:val=""/>
      <w:lvlJc w:val="left"/>
    </w:lvl>
    <w:lvl w:ilvl="6" w:tplc="2B1E891C">
      <w:numFmt w:val="decimal"/>
      <w:lvlText w:val=""/>
      <w:lvlJc w:val="left"/>
    </w:lvl>
    <w:lvl w:ilvl="7" w:tplc="8E9098A6">
      <w:numFmt w:val="decimal"/>
      <w:lvlText w:val=""/>
      <w:lvlJc w:val="left"/>
    </w:lvl>
    <w:lvl w:ilvl="8" w:tplc="B074DA2A">
      <w:numFmt w:val="decimal"/>
      <w:lvlText w:val=""/>
      <w:lvlJc w:val="left"/>
    </w:lvl>
  </w:abstractNum>
  <w:abstractNum w:abstractNumId="16" w15:restartNumberingAfterBreak="0">
    <w:nsid w:val="5D5E238B"/>
    <w:multiLevelType w:val="hybridMultilevel"/>
    <w:tmpl w:val="76C84592"/>
    <w:lvl w:ilvl="0" w:tplc="7898EADA">
      <w:start w:val="1"/>
      <w:numFmt w:val="decimal"/>
      <w:lvlText w:val="%1."/>
      <w:lvlJc w:val="left"/>
      <w:pPr>
        <w:ind w:left="540" w:hanging="360"/>
      </w:pPr>
    </w:lvl>
    <w:lvl w:ilvl="1" w:tplc="6A9EA864">
      <w:numFmt w:val="decimal"/>
      <w:lvlText w:val=""/>
      <w:lvlJc w:val="left"/>
    </w:lvl>
    <w:lvl w:ilvl="2" w:tplc="9BC206EE">
      <w:numFmt w:val="decimal"/>
      <w:lvlText w:val=""/>
      <w:lvlJc w:val="left"/>
    </w:lvl>
    <w:lvl w:ilvl="3" w:tplc="244CC1DC">
      <w:numFmt w:val="decimal"/>
      <w:lvlText w:val=""/>
      <w:lvlJc w:val="left"/>
    </w:lvl>
    <w:lvl w:ilvl="4" w:tplc="8996DE30">
      <w:numFmt w:val="decimal"/>
      <w:lvlText w:val=""/>
      <w:lvlJc w:val="left"/>
    </w:lvl>
    <w:lvl w:ilvl="5" w:tplc="89621A10">
      <w:numFmt w:val="decimal"/>
      <w:lvlText w:val=""/>
      <w:lvlJc w:val="left"/>
    </w:lvl>
    <w:lvl w:ilvl="6" w:tplc="34A86620">
      <w:numFmt w:val="decimal"/>
      <w:lvlText w:val=""/>
      <w:lvlJc w:val="left"/>
    </w:lvl>
    <w:lvl w:ilvl="7" w:tplc="75BE8040">
      <w:numFmt w:val="decimal"/>
      <w:lvlText w:val=""/>
      <w:lvlJc w:val="left"/>
    </w:lvl>
    <w:lvl w:ilvl="8" w:tplc="A4B090D8">
      <w:numFmt w:val="decimal"/>
      <w:lvlText w:val=""/>
      <w:lvlJc w:val="left"/>
    </w:lvl>
  </w:abstractNum>
  <w:abstractNum w:abstractNumId="17" w15:restartNumberingAfterBreak="0">
    <w:nsid w:val="5FA50400"/>
    <w:multiLevelType w:val="hybridMultilevel"/>
    <w:tmpl w:val="33747144"/>
    <w:lvl w:ilvl="0" w:tplc="D3805730">
      <w:start w:val="1"/>
      <w:numFmt w:val="decimal"/>
      <w:lvlText w:val="%1."/>
      <w:lvlJc w:val="left"/>
      <w:pPr>
        <w:ind w:left="540" w:hanging="360"/>
      </w:pPr>
    </w:lvl>
    <w:lvl w:ilvl="1" w:tplc="2E54D8C4">
      <w:numFmt w:val="decimal"/>
      <w:lvlText w:val=""/>
      <w:lvlJc w:val="left"/>
    </w:lvl>
    <w:lvl w:ilvl="2" w:tplc="87C031A8">
      <w:numFmt w:val="decimal"/>
      <w:lvlText w:val=""/>
      <w:lvlJc w:val="left"/>
    </w:lvl>
    <w:lvl w:ilvl="3" w:tplc="7CDEDF9A">
      <w:numFmt w:val="decimal"/>
      <w:lvlText w:val=""/>
      <w:lvlJc w:val="left"/>
    </w:lvl>
    <w:lvl w:ilvl="4" w:tplc="C11E1F42">
      <w:numFmt w:val="decimal"/>
      <w:lvlText w:val=""/>
      <w:lvlJc w:val="left"/>
    </w:lvl>
    <w:lvl w:ilvl="5" w:tplc="67A0C230">
      <w:numFmt w:val="decimal"/>
      <w:lvlText w:val=""/>
      <w:lvlJc w:val="left"/>
    </w:lvl>
    <w:lvl w:ilvl="6" w:tplc="1C6E2ABC">
      <w:numFmt w:val="decimal"/>
      <w:lvlText w:val=""/>
      <w:lvlJc w:val="left"/>
    </w:lvl>
    <w:lvl w:ilvl="7" w:tplc="B48861AE">
      <w:numFmt w:val="decimal"/>
      <w:lvlText w:val=""/>
      <w:lvlJc w:val="left"/>
    </w:lvl>
    <w:lvl w:ilvl="8" w:tplc="C08A1640">
      <w:numFmt w:val="decimal"/>
      <w:lvlText w:val=""/>
      <w:lvlJc w:val="left"/>
    </w:lvl>
  </w:abstractNum>
  <w:abstractNum w:abstractNumId="18" w15:restartNumberingAfterBreak="0">
    <w:nsid w:val="62896466"/>
    <w:multiLevelType w:val="hybridMultilevel"/>
    <w:tmpl w:val="FA44AC2A"/>
    <w:lvl w:ilvl="0" w:tplc="3864CCAE">
      <w:start w:val="1"/>
      <w:numFmt w:val="bullet"/>
      <w:lvlText w:val="●"/>
      <w:lvlJc w:val="left"/>
      <w:pPr>
        <w:ind w:left="720" w:hanging="360"/>
      </w:pPr>
    </w:lvl>
    <w:lvl w:ilvl="1" w:tplc="B22AA3B2">
      <w:start w:val="1"/>
      <w:numFmt w:val="bullet"/>
      <w:lvlText w:val="○"/>
      <w:lvlJc w:val="left"/>
      <w:pPr>
        <w:ind w:left="1440" w:hanging="360"/>
      </w:pPr>
    </w:lvl>
    <w:lvl w:ilvl="2" w:tplc="8FE4B98C">
      <w:start w:val="1"/>
      <w:numFmt w:val="bullet"/>
      <w:lvlText w:val="■"/>
      <w:lvlJc w:val="left"/>
      <w:pPr>
        <w:ind w:left="2160" w:hanging="360"/>
      </w:pPr>
    </w:lvl>
    <w:lvl w:ilvl="3" w:tplc="C7FA458C">
      <w:start w:val="1"/>
      <w:numFmt w:val="bullet"/>
      <w:lvlText w:val="●"/>
      <w:lvlJc w:val="left"/>
      <w:pPr>
        <w:ind w:left="2880" w:hanging="360"/>
      </w:pPr>
    </w:lvl>
    <w:lvl w:ilvl="4" w:tplc="57641B64">
      <w:start w:val="1"/>
      <w:numFmt w:val="bullet"/>
      <w:lvlText w:val="○"/>
      <w:lvlJc w:val="left"/>
      <w:pPr>
        <w:ind w:left="3600" w:hanging="360"/>
      </w:pPr>
    </w:lvl>
    <w:lvl w:ilvl="5" w:tplc="4A9C9642">
      <w:start w:val="1"/>
      <w:numFmt w:val="bullet"/>
      <w:lvlText w:val="■"/>
      <w:lvlJc w:val="left"/>
      <w:pPr>
        <w:ind w:left="4320" w:hanging="360"/>
      </w:pPr>
    </w:lvl>
    <w:lvl w:ilvl="6" w:tplc="D58E3AA2">
      <w:start w:val="1"/>
      <w:numFmt w:val="bullet"/>
      <w:lvlText w:val="●"/>
      <w:lvlJc w:val="left"/>
      <w:pPr>
        <w:ind w:left="5040" w:hanging="360"/>
      </w:pPr>
    </w:lvl>
    <w:lvl w:ilvl="7" w:tplc="C3AE5EB6">
      <w:start w:val="1"/>
      <w:numFmt w:val="bullet"/>
      <w:lvlText w:val="●"/>
      <w:lvlJc w:val="left"/>
      <w:pPr>
        <w:ind w:left="5760" w:hanging="360"/>
      </w:pPr>
    </w:lvl>
    <w:lvl w:ilvl="8" w:tplc="EC60CB80">
      <w:start w:val="1"/>
      <w:numFmt w:val="bullet"/>
      <w:lvlText w:val="●"/>
      <w:lvlJc w:val="left"/>
      <w:pPr>
        <w:ind w:left="6480" w:hanging="360"/>
      </w:pPr>
    </w:lvl>
  </w:abstractNum>
  <w:abstractNum w:abstractNumId="19" w15:restartNumberingAfterBreak="0">
    <w:nsid w:val="6E5F72C1"/>
    <w:multiLevelType w:val="hybridMultilevel"/>
    <w:tmpl w:val="51B4D866"/>
    <w:lvl w:ilvl="0" w:tplc="6868C472">
      <w:start w:val="1"/>
      <w:numFmt w:val="decimal"/>
      <w:lvlText w:val="%1."/>
      <w:lvlJc w:val="left"/>
      <w:pPr>
        <w:ind w:left="540" w:hanging="360"/>
      </w:pPr>
    </w:lvl>
    <w:lvl w:ilvl="1" w:tplc="FB94F572">
      <w:numFmt w:val="decimal"/>
      <w:lvlText w:val=""/>
      <w:lvlJc w:val="left"/>
    </w:lvl>
    <w:lvl w:ilvl="2" w:tplc="BCDE380A">
      <w:numFmt w:val="decimal"/>
      <w:lvlText w:val=""/>
      <w:lvlJc w:val="left"/>
    </w:lvl>
    <w:lvl w:ilvl="3" w:tplc="5C70C5A2">
      <w:numFmt w:val="decimal"/>
      <w:lvlText w:val=""/>
      <w:lvlJc w:val="left"/>
    </w:lvl>
    <w:lvl w:ilvl="4" w:tplc="825C7C50">
      <w:numFmt w:val="decimal"/>
      <w:lvlText w:val=""/>
      <w:lvlJc w:val="left"/>
    </w:lvl>
    <w:lvl w:ilvl="5" w:tplc="97C636AA">
      <w:numFmt w:val="decimal"/>
      <w:lvlText w:val=""/>
      <w:lvlJc w:val="left"/>
    </w:lvl>
    <w:lvl w:ilvl="6" w:tplc="885E2948">
      <w:numFmt w:val="decimal"/>
      <w:lvlText w:val=""/>
      <w:lvlJc w:val="left"/>
    </w:lvl>
    <w:lvl w:ilvl="7" w:tplc="287A3B6C">
      <w:numFmt w:val="decimal"/>
      <w:lvlText w:val=""/>
      <w:lvlJc w:val="left"/>
    </w:lvl>
    <w:lvl w:ilvl="8" w:tplc="00FABCC0">
      <w:numFmt w:val="decimal"/>
      <w:lvlText w:val=""/>
      <w:lvlJc w:val="left"/>
    </w:lvl>
  </w:abstractNum>
  <w:abstractNum w:abstractNumId="20" w15:restartNumberingAfterBreak="0">
    <w:nsid w:val="73EC6C5E"/>
    <w:multiLevelType w:val="hybridMultilevel"/>
    <w:tmpl w:val="1EE81CCA"/>
    <w:lvl w:ilvl="0" w:tplc="F44C8996">
      <w:start w:val="1"/>
      <w:numFmt w:val="bullet"/>
      <w:lvlText w:val="●"/>
      <w:lvlJc w:val="left"/>
      <w:pPr>
        <w:ind w:left="720" w:hanging="360"/>
      </w:pPr>
    </w:lvl>
    <w:lvl w:ilvl="1" w:tplc="C5C2351E">
      <w:start w:val="1"/>
      <w:numFmt w:val="bullet"/>
      <w:lvlText w:val="○"/>
      <w:lvlJc w:val="left"/>
      <w:pPr>
        <w:ind w:left="1440" w:hanging="360"/>
      </w:pPr>
    </w:lvl>
    <w:lvl w:ilvl="2" w:tplc="3868711E">
      <w:start w:val="1"/>
      <w:numFmt w:val="bullet"/>
      <w:lvlText w:val="■"/>
      <w:lvlJc w:val="left"/>
      <w:pPr>
        <w:ind w:left="2160" w:hanging="360"/>
      </w:pPr>
    </w:lvl>
    <w:lvl w:ilvl="3" w:tplc="2E90D540">
      <w:start w:val="1"/>
      <w:numFmt w:val="bullet"/>
      <w:lvlText w:val="●"/>
      <w:lvlJc w:val="left"/>
      <w:pPr>
        <w:ind w:left="2880" w:hanging="360"/>
      </w:pPr>
    </w:lvl>
    <w:lvl w:ilvl="4" w:tplc="A3383350">
      <w:start w:val="1"/>
      <w:numFmt w:val="bullet"/>
      <w:lvlText w:val="○"/>
      <w:lvlJc w:val="left"/>
      <w:pPr>
        <w:ind w:left="3600" w:hanging="360"/>
      </w:pPr>
    </w:lvl>
    <w:lvl w:ilvl="5" w:tplc="CD2228B6">
      <w:start w:val="1"/>
      <w:numFmt w:val="bullet"/>
      <w:lvlText w:val="■"/>
      <w:lvlJc w:val="left"/>
      <w:pPr>
        <w:ind w:left="4320" w:hanging="360"/>
      </w:pPr>
    </w:lvl>
    <w:lvl w:ilvl="6" w:tplc="27622644">
      <w:start w:val="1"/>
      <w:numFmt w:val="bullet"/>
      <w:lvlText w:val="●"/>
      <w:lvlJc w:val="left"/>
      <w:pPr>
        <w:ind w:left="5040" w:hanging="360"/>
      </w:pPr>
    </w:lvl>
    <w:lvl w:ilvl="7" w:tplc="7B981798">
      <w:start w:val="1"/>
      <w:numFmt w:val="bullet"/>
      <w:lvlText w:val="●"/>
      <w:lvlJc w:val="left"/>
      <w:pPr>
        <w:ind w:left="5760" w:hanging="360"/>
      </w:pPr>
    </w:lvl>
    <w:lvl w:ilvl="8" w:tplc="68223C14">
      <w:start w:val="1"/>
      <w:numFmt w:val="bullet"/>
      <w:lvlText w:val="●"/>
      <w:lvlJc w:val="left"/>
      <w:pPr>
        <w:ind w:left="6480" w:hanging="360"/>
      </w:pPr>
    </w:lvl>
  </w:abstractNum>
  <w:abstractNum w:abstractNumId="900">
    <w:multiLevelType w:val="hybridMultilevel"/>
    <w:lvl w:ilvl="0">
      <w:start w:val="1"/>
      <w:numFmt w:val="bullet"/>
      <w:lvlText w:val="•"/>
      <w:lvlJc w:val="left"/>
      <w:pPr>
        <w:ind w:left="540" w:hanging="360"/>
      </w:pPr>
    </w:lvl>
    <w:lvl w:ilvl="1">
      <w:start w:val="1"/>
      <w:numFmt w:val="bullet"/>
      <w:lvlText w:val="–"/>
      <w:lvlJc w:val="left"/>
      <w:pPr>
        <w:ind w:left="900" w:hanging="360"/>
      </w:pPr>
    </w:lvl>
  </w:abstractNum>
  <w:abstractNum w:abstractNumId="901">
    <w:multiLevelType w:val="hybridMultilevel"/>
    <w:lvl w:ilvl="0">
      <w:start w:val="1"/>
      <w:numFmt w:val="decimal"/>
      <w:lvlText w:val="%1."/>
      <w:lvlJc w:val="left"/>
      <w:pPr>
        <w:ind w:left="540" w:hanging="360"/>
      </w:pPr>
    </w:lvl>
    <w:lvl w:ilvl="1">
      <w:start w:val="1"/>
      <w:numFmt w:val="lowerLetter"/>
      <w:lvlText w:val="%2."/>
      <w:lvlJc w:val="left"/>
      <w:pPr>
        <w:ind w:left="900" w:hanging="360"/>
      </w:pPr>
    </w:lvl>
  </w:abstractNum>
  <w:num w:numId="22">
    <w:abstractNumId w:val="21"/>
  </w:num>
  <w:num w:numId="1" w16cid:durableId="45111078">
    <w:abstractNumId w:val="18"/>
    <w:lvlOverride w:ilvl="0">
      <w:startOverride w:val="1"/>
    </w:lvlOverride>
  </w:num>
  <w:num w:numId="2" w16cid:durableId="875583753">
    <w:abstractNumId w:val="5"/>
    <w:lvlOverride w:ilvl="0">
      <w:startOverride w:val="1"/>
    </w:lvlOverride>
  </w:num>
  <w:num w:numId="3" w16cid:durableId="1773738229">
    <w:abstractNumId w:val="2"/>
    <w:lvlOverride w:ilvl="0">
      <w:startOverride w:val="1"/>
    </w:lvlOverride>
  </w:num>
  <w:num w:numId="4" w16cid:durableId="1282570669">
    <w:abstractNumId w:val="0"/>
    <w:lvlOverride w:ilvl="0">
      <w:startOverride w:val="1"/>
    </w:lvlOverride>
  </w:num>
  <w:num w:numId="5" w16cid:durableId="301932441">
    <w:abstractNumId w:val="16"/>
    <w:lvlOverride w:ilvl="0">
      <w:startOverride w:val="1"/>
    </w:lvlOverride>
  </w:num>
  <w:num w:numId="6" w16cid:durableId="2020042072">
    <w:abstractNumId w:val="4"/>
    <w:lvlOverride w:ilvl="0">
      <w:startOverride w:val="1"/>
    </w:lvlOverride>
  </w:num>
  <w:num w:numId="7" w16cid:durableId="1032800565">
    <w:abstractNumId w:val="11"/>
    <w:lvlOverride w:ilvl="0">
      <w:startOverride w:val="1"/>
    </w:lvlOverride>
  </w:num>
  <w:num w:numId="8" w16cid:durableId="1834179815">
    <w:abstractNumId w:val="6"/>
    <w:lvlOverride w:ilvl="0">
      <w:startOverride w:val="1"/>
    </w:lvlOverride>
  </w:num>
  <w:num w:numId="9" w16cid:durableId="1413625338">
    <w:abstractNumId w:val="17"/>
    <w:lvlOverride w:ilvl="0">
      <w:startOverride w:val="1"/>
    </w:lvlOverride>
  </w:num>
  <w:num w:numId="10" w16cid:durableId="338775051">
    <w:abstractNumId w:val="13"/>
    <w:lvlOverride w:ilvl="0">
      <w:startOverride w:val="1"/>
    </w:lvlOverride>
  </w:num>
  <w:num w:numId="11" w16cid:durableId="296496085">
    <w:abstractNumId w:val="10"/>
    <w:lvlOverride w:ilvl="0">
      <w:startOverride w:val="1"/>
    </w:lvlOverride>
  </w:num>
  <w:num w:numId="12" w16cid:durableId="201477743">
    <w:abstractNumId w:val="14"/>
  </w:num>
  <w:num w:numId="13" w16cid:durableId="1978562984">
    <w:abstractNumId w:val="1"/>
  </w:num>
  <w:num w:numId="14" w16cid:durableId="1592619871">
    <w:abstractNumId w:val="20"/>
    <w:lvlOverride w:ilvl="0">
      <w:startOverride w:val="1"/>
    </w:lvlOverride>
  </w:num>
  <w:num w:numId="15" w16cid:durableId="465196043">
    <w:abstractNumId w:val="15"/>
    <w:lvlOverride w:ilvl="0">
      <w:startOverride w:val="1"/>
    </w:lvlOverride>
  </w:num>
  <w:num w:numId="16" w16cid:durableId="606422778">
    <w:abstractNumId w:val="12"/>
    <w:lvlOverride w:ilvl="0">
      <w:startOverride w:val="1"/>
    </w:lvlOverride>
  </w:num>
  <w:num w:numId="17" w16cid:durableId="1439331497">
    <w:abstractNumId w:val="7"/>
    <w:lvlOverride w:ilvl="0">
      <w:startOverride w:val="1"/>
    </w:lvlOverride>
  </w:num>
  <w:num w:numId="18" w16cid:durableId="420495078">
    <w:abstractNumId w:val="8"/>
    <w:lvlOverride w:ilvl="0">
      <w:startOverride w:val="1"/>
    </w:lvlOverride>
  </w:num>
  <w:num w:numId="19" w16cid:durableId="1386098281">
    <w:abstractNumId w:val="19"/>
    <w:lvlOverride w:ilvl="0">
      <w:startOverride w:val="1"/>
    </w:lvlOverride>
  </w:num>
  <w:num w:numId="20" w16cid:durableId="531311702">
    <w:abstractNumId w:val="3"/>
    <w:lvlOverride w:ilvl="0">
      <w:startOverride w:val="1"/>
    </w:lvlOverride>
  </w:num>
  <w:num w:numId="21" w16cid:durableId="2127507789">
    <w:abstractNumId w:val="9"/>
    <w:lvlOverride w:ilvl="0">
      <w:startOverride w:val="1"/>
    </w:lvlOverride>
  </w:num>
  <w:num w:numId="122">
    <w:abstractNumId w:val="900"/>
    <w:lvlOverride w:ilvl="0">
      <w:startOverride w:val="1"/>
    </w:lvlOverride>
  </w:num>
  <w:num w:numId="123">
    <w:abstractNumId w:val="901"/>
    <w:lvlOverride w:ilvl="0">
      <w:startOverride w:val="1"/>
    </w:lvlOverride>
  </w:num>
  <w:num w:numId="124">
    <w:abstractNumId w:val="900"/>
    <w:lvlOverride w:ilvl="0">
      <w:startOverride w:val="1"/>
    </w:lvlOverride>
  </w:num>
  <w:num w:numId="125">
    <w:abstractNumId w:val="901"/>
    <w:lvlOverride w:ilvl="0">
      <w:startOverride w:val="1"/>
    </w:lvlOverride>
  </w:num>
  <w:num w:numId="126">
    <w:abstractNumId w:val="900"/>
    <w:lvlOverride w:ilvl="0">
      <w:startOverride w:val="1"/>
    </w:lvlOverride>
  </w:num>
  <w:num w:numId="127">
    <w:abstractNumId w:val="901"/>
    <w:lvlOverride w:ilvl="0">
      <w:startOverride w:val="1"/>
    </w:lvlOverride>
  </w:num>
  <w:num w:numId="128">
    <w:abstractNumId w:val="900"/>
    <w:lvlOverride w:ilvl="0">
      <w:startOverride w:val="1"/>
    </w:lvlOverride>
  </w:num>
  <w:num w:numId="129">
    <w:abstractNumId w:val="901"/>
    <w:lvlOverride w:ilvl="0">
      <w:startOverride w:val="1"/>
    </w:lvlOverride>
  </w:num>
  <w:num w:numId="130">
    <w:abstractNumId w:val="900"/>
    <w:lvlOverride w:ilvl="0">
      <w:startOverride w:val="1"/>
    </w:lvlOverride>
  </w:num>
  <w:num w:numId="131">
    <w:abstractNumId w:val="901"/>
    <w:lvlOverride w:ilvl="0">
      <w:startOverride w:val="1"/>
    </w:lvlOverride>
  </w:num>
  <w:num w:numId="132">
    <w:abstractNumId w:val="900"/>
    <w:lvlOverride w:ilvl="0">
      <w:startOverride w:val="1"/>
    </w:lvlOverride>
  </w:num>
  <w:num w:numId="133">
    <w:abstractNumId w:val="901"/>
    <w:lvlOverride w:ilvl="0">
      <w:startOverride w:val="1"/>
    </w:lvlOverride>
  </w:num>
  <w:num w:numId="134">
    <w:abstractNumId w:val="900"/>
    <w:lvlOverride w:ilvl="0">
      <w:startOverride w:val="1"/>
    </w:lvlOverride>
  </w:num>
  <w:num w:numId="135">
    <w:abstractNumId w:val="901"/>
    <w:lvlOverride w:ilvl="0">
      <w:startOverride w:val="1"/>
    </w:lvlOverride>
  </w:num>
  <w:num w:numId="136">
    <w:abstractNumId w:val="900"/>
    <w:lvlOverride w:ilvl="0">
      <w:startOverride w:val="1"/>
    </w:lvlOverride>
  </w:num>
  <w:num w:numId="137">
    <w:abstractNumId w:val="901"/>
    <w:lvlOverride w:ilvl="0">
      <w:startOverride w:val="1"/>
    </w:lvlOverride>
  </w:num>
  <w:num w:numId="138">
    <w:abstractNumId w:val="900"/>
    <w:lvlOverride w:ilvl="0">
      <w:startOverride w:val="1"/>
    </w:lvlOverride>
  </w:num>
  <w:num w:numId="139">
    <w:abstractNumId w:val="901"/>
    <w:lvlOverride w:ilvl="0">
      <w:startOverride w:val="1"/>
    </w:lvlOverride>
  </w:num>
  <w:num w:numId="140">
    <w:abstractNumId w:val="900"/>
    <w:lvlOverride w:ilvl="0">
      <w:startOverride w:val="1"/>
    </w:lvlOverride>
  </w:num>
  <w:num w:numId="141">
    <w:abstractNumId w:val="901"/>
    <w:lvlOverride w:ilvl="0">
      <w:startOverride w:val="1"/>
    </w:lvlOverride>
  </w:num>
  <w:num w:numId="142">
    <w:abstractNumId w:val="900"/>
    <w:lvlOverride w:ilvl="0">
      <w:startOverride w:val="1"/>
    </w:lvlOverride>
  </w:num>
  <w:num w:numId="143">
    <w:abstractNumId w:val="901"/>
    <w:lvlOverride w:ilvl="0">
      <w:startOverride w:val="1"/>
    </w:lvlOverride>
  </w:num>
  <w:num w:numId="144">
    <w:abstractNumId w:val="900"/>
    <w:lvlOverride w:ilvl="0">
      <w:startOverride w:val="1"/>
    </w:lvlOverride>
  </w:num>
  <w:num w:numId="145">
    <w:abstractNumId w:val="901"/>
    <w:lvlOverride w:ilvl="0">
      <w:startOverride w:val="1"/>
    </w:lvlOverride>
  </w:num>
  <w:num w:numId="146">
    <w:abstractNumId w:val="900"/>
    <w:lvlOverride w:ilvl="0">
      <w:startOverride w:val="1"/>
    </w:lvlOverride>
  </w:num>
  <w:num w:numId="147">
    <w:abstractNumId w:val="901"/>
    <w:lvlOverride w:ilvl="0">
      <w:startOverride w:val="1"/>
    </w:lvlOverride>
  </w:num>
  <w:num w:numId="148">
    <w:abstractNumId w:val="900"/>
    <w:lvlOverride w:ilvl="0">
      <w:startOverride w:val="1"/>
    </w:lvlOverride>
  </w:num>
  <w:num w:numId="149">
    <w:abstractNumId w:val="901"/>
    <w:lvlOverride w:ilvl="0">
      <w:startOverride w:val="1"/>
    </w:lvlOverride>
  </w:num>
  <w:num w:numId="150">
    <w:abstractNumId w:val="900"/>
    <w:lvlOverride w:ilvl="0">
      <w:startOverride w:val="1"/>
    </w:lvlOverride>
  </w:num>
  <w:num w:numId="151">
    <w:abstractNumId w:val="901"/>
    <w:lvlOverride w:ilvl="0">
      <w:startOverride w:val="1"/>
    </w:lvlOverride>
  </w:num>
  <w:num w:numId="152">
    <w:abstractNumId w:val="900"/>
    <w:lvlOverride w:ilvl="0">
      <w:startOverride w:val="1"/>
    </w:lvlOverride>
  </w:num>
  <w:num w:numId="153">
    <w:abstractNumId w:val="901"/>
    <w:lvlOverride w:ilvl="0">
      <w:startOverride w:val="1"/>
    </w:lvlOverride>
  </w:num>
  <w:num w:numId="154">
    <w:abstractNumId w:val="900"/>
    <w:lvlOverride w:ilvl="0">
      <w:startOverride w:val="1"/>
    </w:lvlOverride>
  </w:num>
  <w:num w:numId="155">
    <w:abstractNumId w:val="901"/>
    <w:lvlOverride w:ilvl="0">
      <w:startOverride w:val="1"/>
    </w:lvlOverride>
  </w:num>
  <w:num w:numId="156">
    <w:abstractNumId w:val="900"/>
    <w:lvlOverride w:ilvl="0">
      <w:startOverride w:val="1"/>
    </w:lvlOverride>
  </w:num>
  <w:num w:numId="157">
    <w:abstractNumId w:val="901"/>
    <w:lvlOverride w:ilvl="0">
      <w:startOverride w:val="1"/>
    </w:lvlOverride>
  </w:num>
  <w:num w:numId="158">
    <w:abstractNumId w:val="900"/>
    <w:lvlOverride w:ilvl="0">
      <w:startOverride w:val="1"/>
    </w:lvlOverride>
  </w:num>
  <w:num w:numId="159">
    <w:abstractNumId w:val="90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2D3"/>
    <w:rsid w:val="00000000"/>
    <w:rsid w:val="00024E27"/>
    <w:rsid w:val="000A4E62"/>
    <w:rsid w:val="001631B4"/>
    <w:rsid w:val="0016462A"/>
    <w:rsid w:val="00171F7C"/>
    <w:rsid w:val="00197C93"/>
    <w:rsid w:val="00265F0C"/>
    <w:rsid w:val="002849A4"/>
    <w:rsid w:val="002D23D8"/>
    <w:rsid w:val="00335E8D"/>
    <w:rsid w:val="003B388C"/>
    <w:rsid w:val="003C320C"/>
    <w:rsid w:val="004704A4"/>
    <w:rsid w:val="00496398"/>
    <w:rsid w:val="004A1EFB"/>
    <w:rsid w:val="005255DD"/>
    <w:rsid w:val="005E7F59"/>
    <w:rsid w:val="00601DAC"/>
    <w:rsid w:val="006441C6"/>
    <w:rsid w:val="0066424E"/>
    <w:rsid w:val="00666427"/>
    <w:rsid w:val="00684A47"/>
    <w:rsid w:val="006F2025"/>
    <w:rsid w:val="006F2B35"/>
    <w:rsid w:val="007066A7"/>
    <w:rsid w:val="007132D3"/>
    <w:rsid w:val="00713649"/>
    <w:rsid w:val="00721F88"/>
    <w:rsid w:val="00725A7E"/>
    <w:rsid w:val="00777408"/>
    <w:rsid w:val="00794A81"/>
    <w:rsid w:val="007D3A06"/>
    <w:rsid w:val="008B7647"/>
    <w:rsid w:val="008E30CB"/>
    <w:rsid w:val="008E7848"/>
    <w:rsid w:val="00931657"/>
    <w:rsid w:val="00947103"/>
    <w:rsid w:val="009F1001"/>
    <w:rsid w:val="009F64F5"/>
    <w:rsid w:val="00A94BDE"/>
    <w:rsid w:val="00AB05B2"/>
    <w:rsid w:val="00AD199F"/>
    <w:rsid w:val="00B046B1"/>
    <w:rsid w:val="00B14857"/>
    <w:rsid w:val="00C0653B"/>
    <w:rsid w:val="00C15D70"/>
    <w:rsid w:val="00C34872"/>
    <w:rsid w:val="00CE6A34"/>
    <w:rsid w:val="00D522AF"/>
    <w:rsid w:val="00D65AD7"/>
    <w:rsid w:val="00DC7FCF"/>
    <w:rsid w:val="00DF3A48"/>
    <w:rsid w:val="00DF7716"/>
    <w:rsid w:val="00E14B95"/>
    <w:rsid w:val="00E45C1B"/>
    <w:rsid w:val="00EB17A9"/>
    <w:rsid w:val="00EB2A47"/>
    <w:rsid w:val="00F30C87"/>
    <w:rsid w:val="00F93365"/>
    <w:rsid w:val="0829FA03"/>
    <w:rsid w:val="0B973829"/>
    <w:rsid w:val="10AEFA05"/>
    <w:rsid w:val="2DEF27C7"/>
    <w:rsid w:val="2F9DDF74"/>
    <w:rsid w:val="3026D4DF"/>
    <w:rsid w:val="38909D45"/>
    <w:rsid w:val="3BD81908"/>
    <w:rsid w:val="524B1642"/>
    <w:rsid w:val="5D0AA45D"/>
    <w:rsid w:val="5F9C60D7"/>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3DF6"/>
  <w15:docId w15:val="{805827AD-94E0-4479-8723-47467D363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hAnsi="Calibri" w:eastAsia="Calibri" w:cs="Calibri"/>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4872"/>
  </w:style>
  <w:style w:type="paragraph" w:styleId="Heading1">
    <w:name w:val="heading 1"/>
    <w:uiPriority w:val="9"/>
    <w:qFormat/>
    <w:pPr>
      <w:spacing w:before="360" w:after="120"/>
      <w:outlineLvl w:val="0"/>
    </w:pPr>
    <w:rPr>
      <w:b/>
      <w:bCs/>
      <w:color w:val="1F3A5F"/>
      <w:sz w:val="30"/>
      <w:szCs w:val="30"/>
    </w:rPr>
  </w:style>
  <w:style w:type="paragraph" w:styleId="Heading2">
    <w:name w:val="heading 2"/>
    <w:uiPriority w:val="9"/>
    <w:unhideWhenUsed/>
    <w:qFormat/>
    <w:pPr>
      <w:spacing w:before="240" w:after="80"/>
      <w:outlineLvl w:val="1"/>
    </w:pPr>
    <w:rPr>
      <w:b/>
      <w:bCs/>
      <w:color w:val="2E6E8E"/>
      <w:sz w:val="25"/>
      <w:szCs w:val="25"/>
    </w:rPr>
  </w:style>
  <w:style w:type="paragraph" w:styleId="Heading3">
    <w:name w:val="heading 3"/>
    <w:uiPriority w:val="9"/>
    <w:unhideWhenUsed/>
    <w:qFormat/>
    <w:pPr>
      <w:spacing w:before="180" w:after="60"/>
      <w:outlineLvl w:val="2"/>
    </w:pPr>
    <w:rPr>
      <w:b/>
      <w:bCs/>
      <w:color w:val="1F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1" Type="http://schemas.openxmlformats.org/officeDocument/2006/relationships/fontTable" Target="fontTable.xml"/><Relationship Id="rId25"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24" Type="http://schemas.openxmlformats.org/officeDocument/2006/relationships/customXml" Target="../customXml/item2.xml"/><Relationship Id="rId23" Type="http://schemas.openxmlformats.org/officeDocument/2006/relationships/customXml" Target="../customXml/item1.xml"/><Relationship Id="rId4" Type="http://schemas.openxmlformats.org/officeDocument/2006/relationships/webSettings" Target="webSettings.xml"/><Relationship Id="rId22" Type="http://schemas.openxmlformats.org/officeDocument/2006/relationships/theme" Target="theme/theme1.xml"/><Relationship Id="rId5" Type="http://schemas.openxmlformats.org/officeDocument/2006/relationships/hyperlink" Target="https://github.com/Jamie215/CTS_survey_app" TargetMode="External"/><Relationship Id="rId6" Type="http://schemas.openxmlformats.org/officeDocument/2006/relationships/image" Target="media/image17.png"/><Relationship Id="rId7"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png"/><Relationship Id="rId10" Type="http://schemas.openxmlformats.org/officeDocument/2006/relationships/image" Target="media/image21.png"/><Relationship Id="rId11" Type="http://schemas.openxmlformats.org/officeDocument/2006/relationships/image" Target="media/image22.png"/><Relationship Id="rId12" Type="http://schemas.openxmlformats.org/officeDocument/2006/relationships/image" Target="media/image23.png"/><Relationship Id="rId13" Type="http://schemas.openxmlformats.org/officeDocument/2006/relationships/image" Target="media/image24.png"/><Relationship Id="rId14" Type="http://schemas.openxmlformats.org/officeDocument/2006/relationships/image" Target="media/image25.png"/><Relationship Id="rId15" Type="http://schemas.openxmlformats.org/officeDocument/2006/relationships/image" Target="media/image26.png"/><Relationship Id="rId16" Type="http://schemas.openxmlformats.org/officeDocument/2006/relationships/image" Target="media/image27.png"/><Relationship Id="rId17" Type="http://schemas.openxmlformats.org/officeDocument/2006/relationships/hyperlink" Target="https://wts.uwo.ca/services/o/virtual-server-hosting/index.htm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6122EB0154F34DA655C0E531C86C92" ma:contentTypeVersion="14" ma:contentTypeDescription="Create a new document." ma:contentTypeScope="" ma:versionID="f7766c99c8dbc1f8f658c3960fe9b25e">
  <xsd:schema xmlns:xsd="http://www.w3.org/2001/XMLSchema" xmlns:xs="http://www.w3.org/2001/XMLSchema" xmlns:p="http://schemas.microsoft.com/office/2006/metadata/properties" xmlns:ns2="79455a94-5e1a-470d-812f-7307d5038b6e" xmlns:ns3="118d427b-5a4a-45b1-93b6-0db2b2c0fd23" targetNamespace="http://schemas.microsoft.com/office/2006/metadata/properties" ma:root="true" ma:fieldsID="fd2c4cdecbf686d7b48760df3125257b" ns2:_="" ns3:_="">
    <xsd:import namespace="79455a94-5e1a-470d-812f-7307d5038b6e"/>
    <xsd:import namespace="118d427b-5a4a-45b1-93b6-0db2b2c0fd2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55a94-5e1a-470d-812f-7307d5038b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406f274-7af8-4e05-8564-eff9e2e21b1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8d427b-5a4a-45b1-93b6-0db2b2c0f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a3c655d-287f-4dcf-b456-beb57a1611ce}" ma:internalName="TaxCatchAll" ma:showField="CatchAllData" ma:web="118d427b-5a4a-45b1-93b6-0db2b2c0fd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455a94-5e1a-470d-812f-7307d5038b6e">
      <Terms xmlns="http://schemas.microsoft.com/office/infopath/2007/PartnerControls"/>
    </lcf76f155ced4ddcb4097134ff3c332f>
    <TaxCatchAll xmlns="118d427b-5a4a-45b1-93b6-0db2b2c0fd23" xsi:nil="true"/>
  </documentManagement>
</p:properties>
</file>

<file path=customXml/itemProps1.xml><?xml version="1.0" encoding="utf-8"?>
<ds:datastoreItem xmlns:ds="http://schemas.openxmlformats.org/officeDocument/2006/customXml" ds:itemID="{F3ED8824-416C-41FC-925F-ED931C4CD10B}"/>
</file>

<file path=customXml/itemProps2.xml><?xml version="1.0" encoding="utf-8"?>
<ds:datastoreItem xmlns:ds="http://schemas.openxmlformats.org/officeDocument/2006/customXml" ds:itemID="{3AD8B4B5-8013-459C-9B37-3888DFD87572}"/>
</file>

<file path=customXml/itemProps3.xml><?xml version="1.0" encoding="utf-8"?>
<ds:datastoreItem xmlns:ds="http://schemas.openxmlformats.org/officeDocument/2006/customXml" ds:itemID="{822D04F8-4508-4329-9A53-69DF1B12D7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PATH — Design &amp; Workflow Overview</dc:title>
  <dc:creator>Jamie Kim</dc:creator>
  <lastModifiedBy>Ji Min Kim</lastModifiedBy>
  <revision>54</revision>
  <dcterms:created xsi:type="dcterms:W3CDTF">2026-10-19T13:51:00.0000000Z</dcterms:created>
  <dcterms:modified xsi:type="dcterms:W3CDTF">2026-10-20T03:11:17.3671782Z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0x0101004C6122EB0154F34DA655C0E531C86C92</vt:lpwstr>
  </property>
  <property fmtid="{D5CDD505-2E9C-101B-9397-08002B2CF9AE}" pid="3" name="MediaServiceImageTags">
    <vt:lpwstr/>
  </property>
</Properties>
</file>