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7.png" ContentType="image/png"/>
  <Override PartName="/word/media/rId83.png" ContentType="image/png"/>
  <Override PartName="/word/media/rId74.png" ContentType="image/png"/>
  <Override PartName="/word/media/rId68.png" ContentType="image/png"/>
  <Override PartName="/word/media/rId65.png" ContentType="image/png"/>
  <Override PartName="/word/media/rId48.png" ContentType="image/png"/>
  <Override PartName="/word/media/rId60.png" ContentType="image/png"/>
  <Override PartName="/word/media/rId57.png" ContentType="image/png"/>
  <Override PartName="/word/media/rId54.png" ContentType="image/png"/>
  <Override PartName="/word/media/rId20.png" ContentType="image/png"/>
  <Override PartName="/word/media/rId25.jpg" ContentType="image/jpeg"/>
  <Override PartName="/word/media/rId44.png" ContentType="image/png"/>
  <Override PartName="/word/media/rId28.jpg" ContentType="image/jpeg"/>
  <Override PartName="/word/media/rId31.jpg" ContentType="image/jpeg"/>
  <Override PartName="/word/media/rId35.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analyzing</w:t>
      </w:r>
      <w:r>
        <w:t xml:space="preserve"> </w:t>
      </w:r>
      <w:r>
        <w:t xml:space="preserve">its</w:t>
      </w:r>
      <w:r>
        <w:t xml:space="preserve"> </w:t>
      </w:r>
      <w:r>
        <w:t xml:space="preserve">data</w:t>
      </w:r>
    </w:p>
    <w:p>
      <w:pPr>
        <w:pStyle w:val="FirstParagraph"/>
      </w:pPr>
      <w:r>
        <w:rPr>
          <w:iCs/>
          <w:i/>
        </w:rPr>
        <w:t xml:space="preserve">Drafted in October 2026, prepared by Jamie Kim.</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analyze the recording. It covers the system as it currently exists: an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(§3.2).</w:t>
      </w:r>
    </w:p>
    <w:p>
      <w:pPr>
        <w:numPr>
          <w:ilvl w:val="0"/>
          <w:numId w:val="1001"/>
        </w:numPr>
        <w:pStyle w:val="Compact"/>
      </w:pPr>
      <w:r>
        <w:rPr>
          <w:bCs/>
          <w:b/>
        </w:rPr>
        <w:t xml:space="preserve">Initialize.</w:t>
      </w:r>
      <w:r>
        <w:t xml:space="preserve"> </w:t>
      </w:r>
      <w:r>
        <w:t xml:space="preserve">Sending a start time and participant ID to the logger from the app. This erases any recording still on the logger (§5).</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What the logger does when it is powered on depends on its current state (Figure 1).</w:t>
      </w:r>
    </w:p>
    <w:p>
      <w:pPr>
        <w:pStyle w:val="CaptionedFigure"/>
      </w:pPr>
      <w:r>
        <w:drawing>
          <wp:inline>
            <wp:extent cx="5334000" cy="3200400"/>
            <wp:effectExtent b="0" l="0" r="0" t="0"/>
            <wp:docPr descr="Figure 1. The logger’s states and what triggers each change."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Visible to the app?</w:t>
            </w:r>
          </w:p>
        </w:tc>
        <w:tc>
          <w:tcPr>
            <w:shd w:val="clear" w:color="auto" w:fill="DCE6F1"/>
          </w:tcPr>
          <w:p>
            <w:pPr>
              <w:pStyle w:val="Compact"/>
              <w:jc w:val="left"/>
            </w:pPr>
            <w:r>
              <w:rPr>
                <w:b/>
                <w:sz w:val="19"/>
              </w:rPr>
              <w:t xml:space="preserve">Reached by</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Flashing the firmware</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Brief flash at power-on, then off</w:t>
            </w:r>
          </w:p>
        </w:tc>
        <w:tc>
          <w:tcPr/>
          <w:p>
            <w:pPr>
              <w:pStyle w:val="Compact"/>
              <w:jc w:val="left"/>
            </w:pPr>
            <w:r>
              <w:rPr>
                <w:sz w:val="19"/>
              </w:rPr>
              <w:t xml:space="preserve">No</w:t>
            </w:r>
          </w:p>
        </w:tc>
        <w:tc>
          <w:tcPr/>
          <w:p>
            <w:pPr>
              <w:pStyle w:val="Compact"/>
              <w:jc w:val="left"/>
            </w:pPr>
            <w:r>
              <w:rPr>
                <w:sz w:val="19"/>
              </w:rPr>
              <w:t xml:space="preserve">Powering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A power-cycle or any reset during data collection</w:t>
            </w:r>
          </w:p>
        </w:tc>
      </w:tr>
    </w:tbl>
    <w:p>
      <w:pPr>
        <w:pStyle w:val="BodyText"/>
      </w:pPr>
      <w:r>
        <w:t xml:space="preserve">Keep in mind:</w:t>
      </w:r>
    </w:p>
    <w:p>
      <w:pPr>
        <w:numPr>
          <w:ilvl w:val="0"/>
          <w:numId w:val="1002"/>
        </w:numPr>
        <w:pStyle w:val="Compact"/>
      </w:pPr>
      <w:r>
        <w:t xml:space="preserve">The app cannot see a logger that is collecting data. Power-cycle it first to reach state 4.</w:t>
      </w:r>
    </w:p>
    <w:p>
      <w:pPr>
        <w:numPr>
          <w:ilvl w:val="0"/>
          <w:numId w:val="1002"/>
        </w:numPr>
        <w:pStyle w:val="Compact"/>
      </w:pPr>
      <w:r>
        <w:rPr>
          <w:bCs/>
          <w:b/>
        </w:rPr>
        <w:t xml:space="preserve">Any reset or power loss</w:t>
      </w:r>
      <w:r>
        <w:t xml:space="preserve"> </w:t>
      </w:r>
      <w:r>
        <w:t xml:space="preserve">during a deployment, such as a loose coin cell, ends the recording for good.</w:t>
      </w:r>
    </w:p>
    <w:p>
      <w:pPr>
        <w:numPr>
          <w:ilvl w:val="0"/>
          <w:numId w:val="1002"/>
        </w:numPr>
        <w:pStyle w:val="Compact"/>
      </w:pPr>
      <w:r>
        <w:t xml:space="preserve">Initializing</w:t>
      </w:r>
      <w:r>
        <w:t xml:space="preserve"> </w:t>
      </w:r>
      <w:r>
        <w:rPr>
          <w:bCs/>
          <w:b/>
        </w:rPr>
        <w:t xml:space="preserve">erases the previous recording</w:t>
      </w:r>
      <w:r>
        <w:t xml:space="preserve">, so download it first (§7).</w:t>
      </w:r>
    </w:p>
    <w:p>
      <w:pPr>
        <w:numPr>
          <w:ilvl w:val="0"/>
          <w:numId w:val="1002"/>
        </w:numPr>
        <w:pStyle w:val="Compact"/>
      </w:pPr>
      <w:r>
        <w:t xml:space="preserve">Timestamps count from the power-on that starts data collection, so power on at the start time entered in the app (§5).</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keep spare and used cells away from children, as a swallowed coin cell can cause serious internal injury. The skin-contact face of the case is covered with skin-friendly tape, renewed for every deployment. Check the skin under the case at each visit.</w:t>
      </w:r>
    </w:p>
    <w:bookmarkEnd w:id="23"/>
    <w:bookmarkEnd w:id="24"/>
    <w:bookmarkStart w:id="42" w:name="building-the-device"/>
    <w:p>
      <w:pPr>
        <w:pStyle w:val="Heading1"/>
      </w:pPr>
      <w:r>
        <w:t xml:space="preserve">2. Building the device</w:t>
      </w:r>
    </w:p>
    <w:p>
      <w:pPr>
        <w:pStyle w:val="FirstParagraph"/>
      </w:pPr>
      <w:r>
        <w:t xml:space="preserve">To assemble the device, you need the following materials and equipment. The assembly involves sharp tools and soldering: follow the safety instructions for each piece of equipment, wear the appropriate personal protective equipment, and work in a well-ventilated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2640"/>
        <w:gridCol w:w="44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w:t>
            </w:r>
          </w:p>
        </w:tc>
        <w:tc>
          <w:tcPr/>
          <w:p>
            <w:pPr>
              <w:pStyle w:val="Compact"/>
              <w:jc w:val="left"/>
            </w:pPr>
            <w:r>
              <w:rPr>
                <w:sz w:val="19"/>
              </w:rPr>
              <w:t xml:space="preserve">Arduino Nano 33 BLE Sense Rev2</w:t>
            </w:r>
          </w:p>
        </w:tc>
        <w:tc>
          <w:tcPr/>
          <w:p>
            <w:pPr>
              <w:pStyle w:val="Compact"/>
              <w:jc w:val="left"/>
            </w:pPr>
            <w:r>
              <w:rPr>
                <w:sz w:val="19"/>
              </w:rPr>
              <w:t xml:space="preserve">Microcontroller with onboard sensors, including the HS300x temperature sensor and the APDS9960 proximity sensor</w:t>
            </w:r>
          </w:p>
        </w:tc>
      </w:tr>
      <w:tr>
        <w:tc>
          <w:tcPr/>
          <w:p>
            <w:pPr>
              <w:pStyle w:val="Compact"/>
              <w:jc w:val="left"/>
            </w:pPr>
            <w:r>
              <w:rPr>
                <w:sz w:val="19"/>
              </w:rPr>
              <w:t xml:space="preserve">1</w:t>
            </w:r>
          </w:p>
        </w:tc>
        <w:tc>
          <w:tcPr/>
          <w:p>
            <w:pPr>
              <w:pStyle w:val="Compact"/>
              <w:jc w:val="left"/>
            </w:pPr>
            <w:r>
              <w:rPr>
                <w:sz w:val="19"/>
              </w:rPr>
              <w:t xml:space="preserve">CR2450 coin cell battery</w:t>
            </w:r>
          </w:p>
        </w:tc>
        <w:tc>
          <w:tcPr/>
          <w:p>
            <w:pPr>
              <w:pStyle w:val="Compact"/>
              <w:jc w:val="left"/>
            </w:pPr>
            <w:r>
              <w:rPr>
                <w:sz w:val="19"/>
              </w:rPr>
              <w:t xml:space="preserve">Use a new cell for every deployment</w:t>
            </w:r>
          </w:p>
        </w:tc>
      </w:tr>
      <w:tr>
        <w:tc>
          <w:tcPr/>
          <w:p>
            <w:pPr>
              <w:pStyle w:val="Compact"/>
            </w:pPr>
          </w:p>
        </w:tc>
        <w:tc>
          <w:tcPr/>
          <w:p>
            <w:pPr>
              <w:pStyle w:val="Compact"/>
              <w:jc w:val="left"/>
            </w:pPr>
            <w:r>
              <w:rPr>
                <w:sz w:val="19"/>
              </w:rPr>
              <w:t xml:space="preserve">Red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3.3 V pin</w:t>
            </w:r>
          </w:p>
        </w:tc>
      </w:tr>
      <w:tr>
        <w:tc>
          <w:tcPr/>
          <w:p>
            <w:pPr>
              <w:pStyle w:val="Compact"/>
            </w:pPr>
          </w:p>
        </w:tc>
        <w:tc>
          <w:tcPr/>
          <w:p>
            <w:pPr>
              <w:pStyle w:val="Compact"/>
              <w:jc w:val="left"/>
            </w:pPr>
            <w:r>
              <w:rPr>
                <w:sz w:val="19"/>
              </w:rPr>
              <w:t xml:space="preserve">Black (or blue)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GND (ground) pin</w:t>
            </w:r>
          </w:p>
        </w:tc>
      </w:tr>
      <w:tr>
        <w:tc>
          <w:tcPr/>
          <w:p>
            <w:pPr>
              <w:pStyle w:val="Compact"/>
            </w:pPr>
          </w:p>
        </w:tc>
        <w:tc>
          <w:tcPr/>
          <w:p>
            <w:pPr>
              <w:pStyle w:val="Compact"/>
              <w:jc w:val="left"/>
            </w:pPr>
            <w:r>
              <w:rPr>
                <w:sz w:val="19"/>
              </w:rPr>
              <w:t xml:space="preserve">Wire cutter and stripper</w:t>
            </w:r>
          </w:p>
        </w:tc>
        <w:tc>
          <w:tcPr/>
          <w:p>
            <w:pPr>
              <w:pStyle w:val="Compact"/>
              <w:jc w:val="left"/>
            </w:pPr>
            <w:r>
              <w:rPr>
                <w:sz w:val="19"/>
              </w:rPr>
              <w:t xml:space="preserve">Used to prepare the connection wires</w:t>
            </w:r>
          </w:p>
        </w:tc>
      </w:tr>
      <w:tr>
        <w:tc>
          <w:tcPr/>
          <w:p>
            <w:pPr>
              <w:pStyle w:val="Compact"/>
            </w:pPr>
          </w:p>
        </w:tc>
        <w:tc>
          <w:tcPr/>
          <w:p>
            <w:pPr>
              <w:pStyle w:val="Compact"/>
              <w:jc w:val="left"/>
            </w:pPr>
            <w:r>
              <w:rPr>
                <w:sz w:val="19"/>
              </w:rPr>
              <w:t xml:space="preserve">Solder</w:t>
            </w:r>
          </w:p>
        </w:tc>
        <w:tc>
          <w:tcPr/>
          <w:p>
            <w:pPr>
              <w:pStyle w:val="Compact"/>
            </w:pPr>
          </w:p>
        </w:tc>
      </w:tr>
      <w:tr>
        <w:tc>
          <w:tcPr/>
          <w:p>
            <w:pPr>
              <w:pStyle w:val="Compact"/>
            </w:pPr>
          </w:p>
        </w:tc>
        <w:tc>
          <w:tcPr/>
          <w:p>
            <w:pPr>
              <w:pStyle w:val="Compact"/>
              <w:jc w:val="left"/>
            </w:pPr>
            <w:r>
              <w:rPr>
                <w:sz w:val="19"/>
              </w:rPr>
              <w:t xml:space="preserve">Solder flux</w:t>
            </w:r>
          </w:p>
        </w:tc>
        <w:tc>
          <w:tcPr/>
          <w:p>
            <w:pPr>
              <w:pStyle w:val="Compact"/>
              <w:jc w:val="left"/>
            </w:pPr>
            <w:r>
              <w:rPr>
                <w:sz w:val="19"/>
              </w:rPr>
              <w:t xml:space="preserve">Helps the solder stick to the joints. Optional</w:t>
            </w:r>
          </w:p>
        </w:tc>
      </w:tr>
      <w:tr>
        <w:tc>
          <w:tcPr/>
          <w:p>
            <w:pPr>
              <w:pStyle w:val="Compact"/>
            </w:pPr>
          </w:p>
        </w:tc>
        <w:tc>
          <w:tcPr/>
          <w:p>
            <w:pPr>
              <w:pStyle w:val="Compact"/>
              <w:jc w:val="left"/>
            </w:pPr>
            <w:r>
              <w:rPr>
                <w:sz w:val="19"/>
              </w:rPr>
              <w:t xml:space="preserve">Soldering iron</w:t>
            </w:r>
          </w:p>
        </w:tc>
        <w:tc>
          <w:tcPr/>
          <w:p>
            <w:pPr>
              <w:pStyle w:val="Compact"/>
            </w:pPr>
          </w:p>
        </w:tc>
      </w:tr>
      <w:tr>
        <w:tc>
          <w:tcPr/>
          <w:p>
            <w:pPr>
              <w:pStyle w:val="Compact"/>
            </w:pPr>
          </w:p>
        </w:tc>
        <w:tc>
          <w:tcPr/>
          <w:p>
            <w:pPr>
              <w:pStyle w:val="Compact"/>
              <w:jc w:val="left"/>
            </w:pPr>
            <w:r>
              <w:rPr>
                <w:sz w:val="19"/>
              </w:rPr>
              <w:t xml:space="preserve">Helping-hands soldering stand</w:t>
            </w:r>
          </w:p>
        </w:tc>
        <w:tc>
          <w:tcPr/>
          <w:p>
            <w:pPr>
              <w:pStyle w:val="Compact"/>
              <w:jc w:val="left"/>
            </w:pPr>
            <w:r>
              <w:rPr>
                <w:sz w:val="19"/>
              </w:rPr>
              <w:t xml:space="preserve">Holds parts while soldering. Optional</w:t>
            </w:r>
          </w:p>
        </w:tc>
      </w:tr>
      <w:tr>
        <w:tc>
          <w:tcPr/>
          <w:p>
            <w:pPr>
              <w:pStyle w:val="Compact"/>
            </w:pPr>
          </w:p>
        </w:tc>
        <w:tc>
          <w:tcPr/>
          <w:p>
            <w:pPr>
              <w:pStyle w:val="Compact"/>
              <w:jc w:val="left"/>
            </w:pPr>
            <w:r>
              <w:rPr>
                <w:sz w:val="19"/>
              </w:rPr>
              <w:t xml:space="preserve">Tweezers</w:t>
            </w:r>
          </w:p>
        </w:tc>
        <w:tc>
          <w:tcPr/>
          <w:p>
            <w:pPr>
              <w:pStyle w:val="Compact"/>
              <w:jc w:val="left"/>
            </w:pPr>
            <w:r>
              <w:rPr>
                <w:sz w:val="19"/>
              </w:rPr>
              <w:t xml:space="preserve">Used to hold the wires and parts. Optional</w:t>
            </w:r>
          </w:p>
        </w:tc>
      </w:tr>
      <w:tr>
        <w:tc>
          <w:tcPr/>
          <w:p>
            <w:pPr>
              <w:pStyle w:val="Compact"/>
            </w:pPr>
          </w:p>
        </w:tc>
        <w:tc>
          <w:tcPr/>
          <w:p>
            <w:pPr>
              <w:pStyle w:val="Compact"/>
              <w:jc w:val="left"/>
            </w:pPr>
            <w:r>
              <w:rPr>
                <w:sz w:val="19"/>
              </w:rPr>
              <w:t xml:space="preserve">Kapton tape</w:t>
            </w:r>
          </w:p>
        </w:tc>
        <w:tc>
          <w:tcPr/>
          <w:p>
            <w:pPr>
              <w:pStyle w:val="Compact"/>
              <w:jc w:val="left"/>
            </w:pPr>
            <w:r>
              <w:rPr>
                <w:sz w:val="19"/>
              </w:rPr>
              <w:t xml:space="preserve">Protects the bottom of the board</w:t>
            </w:r>
          </w:p>
        </w:tc>
      </w:tr>
      <w:tr>
        <w:tc>
          <w:tcPr/>
          <w:p>
            <w:pPr>
              <w:pStyle w:val="Compact"/>
              <w:jc w:val="left"/>
            </w:pPr>
            <w:r>
              <w:rPr>
                <w:sz w:val="19"/>
              </w:rPr>
              <w:t xml:space="preserve">1</w:t>
            </w:r>
          </w:p>
        </w:tc>
        <w:tc>
          <w:tcPr/>
          <w:p>
            <w:pPr>
              <w:pStyle w:val="Compact"/>
              <w:jc w:val="left"/>
            </w:pPr>
            <w:r>
              <w:rPr>
                <w:sz w:val="19"/>
              </w:rPr>
              <w:t xml:space="preserve">Fielect CR/LIR2450 horizontal coin button battery holder</w:t>
            </w:r>
          </w:p>
        </w:tc>
        <w:tc>
          <w:tcPr/>
          <w:p>
            <w:pPr>
              <w:pStyle w:val="Compact"/>
              <w:jc w:val="left"/>
            </w:pPr>
            <w:r>
              <w:rPr>
                <w:sz w:val="19"/>
              </w:rPr>
              <w:t xml:space="preserve">Holds the CR2450 that powers the Arduino. If another battery holder is used, the case may need a redesign</w:t>
            </w:r>
          </w:p>
        </w:tc>
      </w:tr>
      <w:tr>
        <w:tc>
          <w:tcPr/>
          <w:p>
            <w:pPr>
              <w:pStyle w:val="Compact"/>
            </w:pPr>
          </w:p>
        </w:tc>
        <w:tc>
          <w:tcPr/>
          <w:p>
            <w:pPr>
              <w:pStyle w:val="Compact"/>
              <w:jc w:val="left"/>
            </w:pPr>
            <w:r>
              <w:rPr>
                <w:sz w:val="19"/>
              </w:rPr>
              <w:t xml:space="preserve">Multimeter</w:t>
            </w:r>
          </w:p>
        </w:tc>
        <w:tc>
          <w:tcPr/>
          <w:p>
            <w:pPr>
              <w:pStyle w:val="Compact"/>
              <w:jc w:val="left"/>
            </w:pPr>
            <w:r>
              <w:rPr>
                <w:sz w:val="19"/>
              </w:rPr>
              <w:t xml:space="preserve">Used to check the soldered joints</w:t>
            </w:r>
          </w:p>
        </w:tc>
      </w:tr>
      <w:tr>
        <w:tc>
          <w:tcPr/>
          <w:p>
            <w:pPr>
              <w:pStyle w:val="Compact"/>
              <w:jc w:val="left"/>
            </w:pPr>
            <w:r>
              <w:rPr>
                <w:sz w:val="19"/>
              </w:rPr>
              <w:t xml:space="preserve">1</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 MSK-IF used PLA as the filament material</w:t>
            </w:r>
          </w:p>
        </w:tc>
      </w:tr>
      <w:tr>
        <w:tc>
          <w:tcPr/>
          <w:p>
            <w:pPr>
              <w:pStyle w:val="Compact"/>
              <w:jc w:val="left"/>
            </w:pPr>
            <w:r>
              <w:rPr>
                <w:sz w:val="19"/>
              </w:rPr>
              <w:t xml:space="preserve">1</w:t>
            </w:r>
          </w:p>
        </w:tc>
        <w:tc>
          <w:tcPr/>
          <w:p>
            <w:pPr>
              <w:pStyle w:val="Compact"/>
              <w:jc w:val="left"/>
            </w:pPr>
            <w:r>
              <w:rPr>
                <w:sz w:val="19"/>
              </w:rPr>
              <w:t xml:space="preserve">Clear acrylic window, 1 mm thick (1 cm × 1 cm)</w:t>
            </w:r>
          </w:p>
        </w:tc>
        <w:tc>
          <w:tcPr/>
          <w:p>
            <w:pPr>
              <w:pStyle w:val="Compact"/>
              <w:jc w:val="left"/>
            </w:pPr>
            <w:r>
              <w:rPr>
                <w:sz w:val="19"/>
              </w:rPr>
              <w:t xml:space="preserve">Lets the APDS9960’s infrared light pass through. Needs to be cut from a 1 mm sheet; sheets are available in Rm 1588, Elborn College</w:t>
            </w:r>
          </w:p>
        </w:tc>
      </w:tr>
      <w:tr>
        <w:tc>
          <w:tcPr/>
          <w:p>
            <w:pPr>
              <w:pStyle w:val="Compact"/>
            </w:pPr>
          </w:p>
        </w:tc>
        <w:tc>
          <w:tcPr/>
          <w:p>
            <w:pPr>
              <w:pStyle w:val="Compact"/>
              <w:jc w:val="left"/>
            </w:pPr>
            <w:r>
              <w:rPr>
                <w:sz w:val="19"/>
              </w:rPr>
              <w:t xml:space="preserve">Acrylic (plexiglass) sheet cutter</w:t>
            </w:r>
          </w:p>
        </w:tc>
        <w:tc>
          <w:tcPr/>
          <w:p>
            <w:pPr>
              <w:pStyle w:val="Compact"/>
              <w:jc w:val="left"/>
            </w:pPr>
            <w:r>
              <w:rPr>
                <w:sz w:val="19"/>
              </w:rPr>
              <w:t xml:space="preserve">Used to cut the window; available in Rm 1588, Elborn College</w:t>
            </w:r>
          </w:p>
        </w:tc>
      </w:tr>
      <w:tr>
        <w:tc>
          <w:tcPr/>
          <w:p>
            <w:pPr>
              <w:pStyle w:val="Compact"/>
            </w:pPr>
          </w:p>
        </w:tc>
        <w:tc>
          <w:tcPr/>
          <w:p>
            <w:pPr>
              <w:pStyle w:val="Compact"/>
              <w:jc w:val="left"/>
            </w:pPr>
            <w:r>
              <w:rPr>
                <w:sz w:val="19"/>
              </w:rPr>
              <w:t xml:space="preserve">Super glue</w:t>
            </w:r>
          </w:p>
        </w:tc>
        <w:tc>
          <w:tcPr/>
          <w:p>
            <w:pPr>
              <w:pStyle w:val="Compact"/>
              <w:jc w:val="left"/>
            </w:pPr>
            <w:r>
              <w:rPr>
                <w:sz w:val="19"/>
              </w:rPr>
              <w:t xml:space="preserve">Glues the window to the case</w:t>
            </w:r>
          </w:p>
        </w:tc>
      </w:tr>
      <w:tr>
        <w:tc>
          <w:tcPr/>
          <w:p>
            <w:pPr>
              <w:pStyle w:val="Compact"/>
            </w:pPr>
          </w:p>
        </w:tc>
        <w:tc>
          <w:tcPr/>
          <w:p>
            <w:pPr>
              <w:pStyle w:val="Compact"/>
              <w:jc w:val="left"/>
            </w:pPr>
            <w:r>
              <w:rPr>
                <w:sz w:val="19"/>
              </w:rPr>
              <w:t xml:space="preserve">Cotton swab (Q-tip)</w:t>
            </w:r>
          </w:p>
        </w:tc>
        <w:tc>
          <w:tcPr/>
          <w:p>
            <w:pPr>
              <w:pStyle w:val="Compact"/>
              <w:jc w:val="left"/>
            </w:pPr>
            <w:r>
              <w:rPr>
                <w:sz w:val="19"/>
              </w:rPr>
              <w:t xml:space="preserve">Spreads or cleans up excess glue around the window</w:t>
            </w:r>
          </w:p>
        </w:tc>
      </w:tr>
      <w:tr>
        <w:tc>
          <w:tcPr/>
          <w:p>
            <w:pPr>
              <w:pStyle w:val="Compact"/>
            </w:pPr>
          </w:p>
        </w:tc>
        <w:tc>
          <w:tcPr/>
          <w:p>
            <w:pPr>
              <w:pStyle w:val="Compact"/>
              <w:jc w:val="left"/>
            </w:pPr>
            <w:r>
              <w:rPr>
                <w:sz w:val="19"/>
              </w:rPr>
              <w:t xml:space="preserve">EVA foam</w:t>
            </w:r>
          </w:p>
        </w:tc>
        <w:tc>
          <w:tcPr/>
          <w:p>
            <w:pPr>
              <w:pStyle w:val="Compact"/>
              <w:jc w:val="left"/>
            </w:pPr>
            <w:r>
              <w:rPr>
                <w:sz w:val="19"/>
              </w:rPr>
              <w:t xml:space="preserve">Used to fill the gap between the Arduino and coin cell holder when folded; Optional</w:t>
            </w:r>
          </w:p>
        </w:tc>
      </w:tr>
      <w:tr>
        <w:tc>
          <w:tcPr/>
          <w:p>
            <w:pPr>
              <w:pStyle w:val="Compact"/>
              <w:jc w:val="left"/>
            </w:pPr>
            <w:r>
              <w:rPr>
                <w:sz w:val="19"/>
              </w:rPr>
              <w:t xml:space="preserve">2</w:t>
            </w:r>
          </w:p>
        </w:tc>
        <w:tc>
          <w:tcPr/>
          <w:p>
            <w:pPr>
              <w:pStyle w:val="Compact"/>
              <w:jc w:val="left"/>
            </w:pPr>
            <w:r>
              <w:rPr>
                <w:sz w:val="19"/>
              </w:rPr>
              <w:t xml:space="preserve">Chicago screws</w:t>
            </w:r>
          </w:p>
        </w:tc>
        <w:tc>
          <w:tcPr/>
          <w:p>
            <w:pPr>
              <w:pStyle w:val="Compact"/>
              <w:jc w:val="left"/>
            </w:pPr>
            <w:r>
              <w:rPr>
                <w:sz w:val="19"/>
              </w:rPr>
              <w:t xml:space="preserve">Secure the case through the thermoplastic splint (§6). Depending on how securely the case sits in the moulded splint, the screws may be optional</w:t>
            </w:r>
          </w:p>
        </w:tc>
      </w:tr>
      <w:tr>
        <w:tc>
          <w:tcPr/>
          <w:p>
            <w:pPr>
              <w:pStyle w:val="Compact"/>
              <w:jc w:val="left"/>
            </w:pPr>
            <w:r>
              <w:rPr>
                <w:sz w:val="19"/>
              </w:rPr>
              <w:t xml:space="preserve">1</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bl>
    <w:bookmarkStart w:id="34" w:name="power-wiring"/>
    <w:p>
      <w:pPr>
        <w:pStyle w:val="Heading2"/>
      </w:pPr>
      <w:r>
        <w:t xml:space="preserve">2.1 Power wiring</w:t>
      </w:r>
    </w:p>
    <w:p>
      <w:pPr>
        <w:numPr>
          <w:ilvl w:val="0"/>
          <w:numId w:val="1003"/>
        </w:numPr>
      </w:pPr>
      <w:r>
        <w:t xml:space="preserve">Cut the red and the black (or blue) wire to about 25 mm each. Adjust the length for your wire type.</w:t>
      </w:r>
    </w:p>
    <w:p>
      <w:pPr>
        <w:numPr>
          <w:ilvl w:val="0"/>
          <w:numId w:val="1003"/>
        </w:numPr>
      </w:pPr>
      <w:r>
        <w:t xml:space="preserve">Using the wire stripper, strip both ends of each wire (about 3 mm).</w:t>
      </w:r>
    </w:p>
    <w:p>
      <w:pPr>
        <w:numPr>
          <w:ilvl w:val="0"/>
          <w:numId w:val="1003"/>
        </w:numPr>
      </w:pPr>
      <w:r>
        <w:t xml:space="preserve">Locate the 3.3 V pin (</w:t>
      </w:r>
      <w:r>
        <w:rPr>
          <w:bCs/>
          <w:b/>
        </w:rPr>
        <w:t xml:space="preserve">3V3</w:t>
      </w:r>
      <w:r>
        <w:t xml:space="preserve">) and the ground pin (</w:t>
      </w:r>
      <w:r>
        <w:rPr>
          <w:bCs/>
          <w:b/>
        </w:rPr>
        <w:t xml:space="preserve">GND</w:t>
      </w:r>
      <w:r>
        <w:t xml:space="preserve">) on the Arduino.</w:t>
      </w:r>
    </w:p>
    <w:p>
      <w:pPr>
        <w:numPr>
          <w:ilvl w:val="0"/>
          <w:numId w:val="1000"/>
        </w:numPr>
        <w:pStyle w:val="CaptionedFigure"/>
      </w:pPr>
      <w:r>
        <w:drawing>
          <wp:inline>
            <wp:extent cx="2133600" cy="2493668"/>
            <wp:effectExtent b="0" l="0" r="0" t="0"/>
            <wp:docPr descr="Figure 2. Top view of the Arduino Nano 33 BLE Sense Rev2, soldered at the 3V3 and GND pins, shown seated in the case (the GND wire is blue here)." title="" id="26" name="Picture"/>
            <a:graphic>
              <a:graphicData uri="http://schemas.openxmlformats.org/drawingml/2006/picture">
                <pic:pic>
                  <pic:nvPicPr>
                    <pic:cNvPr descr="images/sop/board_3v3_gnd.jpeg" id="27" name="Picture"/>
                    <pic:cNvPicPr>
                      <a:picLocks noChangeArrowheads="1" noChangeAspect="1"/>
                    </pic:cNvPicPr>
                  </pic:nvPicPr>
                  <pic:blipFill>
                    <a:blip r:embed="rId25"/>
                    <a:stretch>
                      <a:fillRect/>
                    </a:stretch>
                  </pic:blipFill>
                  <pic:spPr bwMode="auto">
                    <a:xfrm>
                      <a:off x="0" y="0"/>
                      <a:ext cx="2133600" cy="2493668"/>
                    </a:xfrm>
                    <a:prstGeom prst="rect">
                      <a:avLst/>
                    </a:prstGeom>
                    <a:noFill/>
                    <a:ln w="9525">
                      <a:noFill/>
                      <a:headEnd/>
                      <a:tailEnd/>
                    </a:ln>
                  </pic:spPr>
                </pic:pic>
              </a:graphicData>
            </a:graphic>
          </wp:inline>
        </w:drawing>
      </w:r>
    </w:p>
    <w:p>
      <w:pPr>
        <w:numPr>
          <w:ilvl w:val="0"/>
          <w:numId w:val="1000"/>
        </w:numPr>
        <w:pStyle w:val="ImageCaption"/>
      </w:pPr>
      <w:r>
        <w:t xml:space="preserve">Figure 2. Top view of the Arduino Nano 33 BLE Sense Rev2, soldered at the 3V3 and GND pins, shown seated in the case (the GND wire is blue here).</w:t>
      </w:r>
    </w:p>
    <w:p>
      <w:pPr>
        <w:numPr>
          <w:ilvl w:val="0"/>
          <w:numId w:val="1003"/>
        </w:numPr>
      </w:pPr>
      <w:r>
        <w:t xml:space="preserve">Insert one end of the red wire into the 3V3 pin and solder the joint from the top, at a suitable soldering-iron temperature (e.g. 580 °F, about 305 °C; follow your solder’s datasheet). Use solder flux, helping hands and tweezers as needed.</w:t>
      </w:r>
    </w:p>
    <w:p>
      <w:pPr>
        <w:numPr>
          <w:ilvl w:val="0"/>
          <w:numId w:val="1003"/>
        </w:numPr>
      </w:pPr>
      <w:r>
        <w:t xml:space="preserve">Insert one end of the black (or blue) wire into the GND pin and solder it the same way.</w:t>
      </w:r>
    </w:p>
    <w:p>
      <w:pPr>
        <w:numPr>
          <w:ilvl w:val="0"/>
          <w:numId w:val="1003"/>
        </w:numPr>
      </w:pPr>
      <w:r>
        <w:t xml:space="preserve">Once both joints are secure, trim the excess solder underneath so the bottom of the board sits flat.</w:t>
      </w:r>
    </w:p>
    <w:p>
      <w:pPr>
        <w:numPr>
          <w:ilvl w:val="0"/>
          <w:numId w:val="1003"/>
        </w:numPr>
      </w:pPr>
      <w:r>
        <w:t xml:space="preserve">Solder the other ends to the battery holder’s pins: red wire to</w:t>
      </w:r>
      <w:r>
        <w:t xml:space="preserve"> </w:t>
      </w:r>
      <w:r>
        <w:t xml:space="preserve">“</w:t>
      </w:r>
      <w:r>
        <w:t xml:space="preserve">+</w:t>
      </w:r>
      <w:r>
        <w:t xml:space="preserve">”</w:t>
      </w:r>
      <w:r>
        <w:t xml:space="preserve">, black (or blue) wire to</w:t>
      </w:r>
      <w:r>
        <w:t xml:space="preserve"> </w:t>
      </w:r>
      <w:r>
        <w:t xml:space="preserve">“</w:t>
      </w:r>
      <w:r>
        <w:t xml:space="preserve">−</w:t>
      </w:r>
      <w:r>
        <w:t xml:space="preserve">”</w:t>
      </w:r>
      <w:r>
        <w:t xml:space="preserve">.</w:t>
      </w:r>
    </w:p>
    <w:p>
      <w:pPr>
        <w:numPr>
          <w:ilvl w:val="0"/>
          <w:numId w:val="1000"/>
        </w:numPr>
        <w:pStyle w:val="CaptionedFigure"/>
      </w:pPr>
      <w:r>
        <w:drawing>
          <wp:inline>
            <wp:extent cx="2667000" cy="2591125"/>
            <wp:effectExtent b="0" l="0" r="0" t="0"/>
            <wp:docPr descr="Figure 3. Fielect CR2450 horizontal coin cell holder, with its pins labelled." title="" id="29" name="Picture"/>
            <a:graphic>
              <a:graphicData uri="http://schemas.openxmlformats.org/drawingml/2006/picture">
                <pic:pic>
                  <pic:nvPicPr>
                    <pic:cNvPr descr="images/sop/holder_pins.jpeg" id="30" name="Picture"/>
                    <pic:cNvPicPr>
                      <a:picLocks noChangeArrowheads="1" noChangeAspect="1"/>
                    </pic:cNvPicPr>
                  </pic:nvPicPr>
                  <pic:blipFill>
                    <a:blip r:embed="rId28"/>
                    <a:stretch>
                      <a:fillRect/>
                    </a:stretch>
                  </pic:blipFill>
                  <pic:spPr bwMode="auto">
                    <a:xfrm>
                      <a:off x="0" y="0"/>
                      <a:ext cx="2667000" cy="2591125"/>
                    </a:xfrm>
                    <a:prstGeom prst="rect">
                      <a:avLst/>
                    </a:prstGeom>
                    <a:noFill/>
                    <a:ln w="9525">
                      <a:noFill/>
                      <a:headEnd/>
                      <a:tailEnd/>
                    </a:ln>
                  </pic:spPr>
                </pic:pic>
              </a:graphicData>
            </a:graphic>
          </wp:inline>
        </w:drawing>
      </w:r>
    </w:p>
    <w:p>
      <w:pPr>
        <w:numPr>
          <w:ilvl w:val="0"/>
          <w:numId w:val="1000"/>
        </w:numPr>
        <w:pStyle w:val="ImageCaption"/>
      </w:pPr>
      <w:r>
        <w:t xml:space="preserve">Figure 3. Fielect CR2450 horizontal coin cell holder, with its pins labelled.</w:t>
      </w:r>
    </w:p>
    <w:p>
      <w:pPr>
        <w:numPr>
          <w:ilvl w:val="0"/>
          <w:numId w:val="1003"/>
        </w:numPr>
      </w:pPr>
      <w:r>
        <w:t xml:space="preserve">Insert a CR2450 to check that the Arduino is powered, and use the multimeter across the joints to check the voltage.</w:t>
      </w:r>
      <w:r>
        <w:t xml:space="preserve"> </w:t>
      </w:r>
      <w:r>
        <w:rPr>
          <w:bCs/>
          <w:b/>
        </w:rPr>
        <w:t xml:space="preserve">Remove the battery</w:t>
      </w:r>
      <w:r>
        <w:t xml:space="preserve"> </w:t>
      </w:r>
      <w:r>
        <w:t xml:space="preserve">once the test is complete.</w:t>
      </w:r>
    </w:p>
    <w:p>
      <w:pPr>
        <w:numPr>
          <w:ilvl w:val="0"/>
          <w:numId w:val="1003"/>
        </w:numPr>
      </w:pPr>
      <w:r>
        <w:t xml:space="preserve">Apply Kapton tape to the bottom of the board for protection.</w:t>
      </w:r>
    </w:p>
    <w:p>
      <w:pPr>
        <w:numPr>
          <w:ilvl w:val="0"/>
          <w:numId w:val="1000"/>
        </w:numPr>
        <w:pStyle w:val="CaptionedFigure"/>
      </w:pPr>
      <w:r>
        <w:drawing>
          <wp:inline>
            <wp:extent cx="1866900" cy="2398612"/>
            <wp:effectExtent b="0" l="0" r="0" t="0"/>
            <wp:docPr descr="Figure 4. Kapton tape applied to the bottom of the Arduino." title="" id="32" name="Picture"/>
            <a:graphic>
              <a:graphicData uri="http://schemas.openxmlformats.org/drawingml/2006/picture">
                <pic:pic>
                  <pic:nvPicPr>
                    <pic:cNvPr descr="images/sop/kapton.jpeg" id="33" name="Picture"/>
                    <pic:cNvPicPr>
                      <a:picLocks noChangeArrowheads="1" noChangeAspect="1"/>
                    </pic:cNvPicPr>
                  </pic:nvPicPr>
                  <pic:blipFill>
                    <a:blip r:embed="rId31"/>
                    <a:stretch>
                      <a:fillRect/>
                    </a:stretch>
                  </pic:blipFill>
                  <pic:spPr bwMode="auto">
                    <a:xfrm>
                      <a:off x="0" y="0"/>
                      <a:ext cx="1866900" cy="2398612"/>
                    </a:xfrm>
                    <a:prstGeom prst="rect">
                      <a:avLst/>
                    </a:prstGeom>
                    <a:noFill/>
                    <a:ln w="9525">
                      <a:noFill/>
                      <a:headEnd/>
                      <a:tailEnd/>
                    </a:ln>
                  </pic:spPr>
                </pic:pic>
              </a:graphicData>
            </a:graphic>
          </wp:inline>
        </w:drawing>
      </w:r>
    </w:p>
    <w:p>
      <w:pPr>
        <w:numPr>
          <w:ilvl w:val="0"/>
          <w:numId w:val="1000"/>
        </w:numPr>
        <w:pStyle w:val="ImageCaption"/>
      </w:pPr>
      <w:r>
        <w:t xml:space="preserve">Figure 4. Kapton tape applied to the bottom of the Arduino.</w:t>
      </w:r>
    </w:p>
    <w:bookmarkEnd w:id="34"/>
    <w:bookmarkStart w:id="41" w:name="case"/>
    <w:p>
      <w:pPr>
        <w:pStyle w:val="Heading2"/>
      </w:pPr>
      <w:r>
        <w:t xml:space="preserve">2.2 Case</w:t>
      </w:r>
    </w:p>
    <w:p>
      <w:pPr>
        <w:numPr>
          <w:ilvl w:val="0"/>
          <w:numId w:val="1004"/>
        </w:numPr>
      </w:pPr>
      <w:r>
        <w:t xml:space="preserve">3D print the case from</w:t>
      </w:r>
      <w:r>
        <w:t xml:space="preserve"> </w:t>
      </w:r>
      <w:r>
        <w:rPr>
          <w:rStyle w:val="VerbatimChar"/>
        </w:rPr>
        <w:t xml:space="preserve">splint_adherece_case.stl</w:t>
      </w:r>
      <w:r>
        <w:t xml:space="preserve">, in a material of your choice. PLA was used during MSK-IF development.</w:t>
      </w:r>
    </w:p>
    <w:p>
      <w:pPr>
        <w:numPr>
          <w:ilvl w:val="0"/>
          <w:numId w:val="1004"/>
        </w:numPr>
      </w:pPr>
      <w:r>
        <w:t xml:space="preserve">Prepare a clear acrylic (plexiglass) window, 1 cm × 1 cm.</w:t>
      </w:r>
    </w:p>
    <w:p>
      <w:pPr>
        <w:numPr>
          <w:ilvl w:val="0"/>
          <w:numId w:val="1004"/>
        </w:numPr>
      </w:pPr>
      <w:r>
        <w:t xml:space="preserve">From the inside, slide the window into the opening in the middle of the lid. It should slide easily between the printed rails. Make sure it fully covers the opening.</w:t>
      </w:r>
    </w:p>
    <w:p>
      <w:pPr>
        <w:numPr>
          <w:ilvl w:val="0"/>
          <w:numId w:val="1000"/>
        </w:numPr>
        <w:pStyle w:val="CaptionedFigure"/>
      </w:pPr>
      <w:r>
        <w:drawing>
          <wp:inline>
            <wp:extent cx="3200400" cy="2087217"/>
            <wp:effectExtent b="0" l="0" r="0" t="0"/>
            <wp:docPr descr="Figure 5. Acrylic window placed inside the lid opening." title="" id="36" name="Picture"/>
            <a:graphic>
              <a:graphicData uri="http://schemas.openxmlformats.org/drawingml/2006/picture">
                <pic:pic>
                  <pic:nvPicPr>
                    <pic:cNvPr descr="images/sop/lid_window.jpeg" id="37" name="Picture"/>
                    <pic:cNvPicPr>
                      <a:picLocks noChangeArrowheads="1" noChangeAspect="1"/>
                    </pic:cNvPicPr>
                  </pic:nvPicPr>
                  <pic:blipFill>
                    <a:blip r:embed="rId35"/>
                    <a:stretch>
                      <a:fillRect/>
                    </a:stretch>
                  </pic:blipFill>
                  <pic:spPr bwMode="auto">
                    <a:xfrm>
                      <a:off x="0" y="0"/>
                      <a:ext cx="3200400" cy="2087217"/>
                    </a:xfrm>
                    <a:prstGeom prst="rect">
                      <a:avLst/>
                    </a:prstGeom>
                    <a:noFill/>
                    <a:ln w="9525">
                      <a:noFill/>
                      <a:headEnd/>
                      <a:tailEnd/>
                    </a:ln>
                  </pic:spPr>
                </pic:pic>
              </a:graphicData>
            </a:graphic>
          </wp:inline>
        </w:drawing>
      </w:r>
    </w:p>
    <w:p>
      <w:pPr>
        <w:numPr>
          <w:ilvl w:val="0"/>
          <w:numId w:val="1000"/>
        </w:numPr>
        <w:pStyle w:val="ImageCaption"/>
      </w:pPr>
      <w:r>
        <w:t xml:space="preserve">Figure 5. Acrylic window placed inside the lid opening.</w:t>
      </w:r>
    </w:p>
    <w:p>
      <w:pPr>
        <w:numPr>
          <w:ilvl w:val="0"/>
          <w:numId w:val="1004"/>
        </w:numPr>
      </w:pPr>
      <w:r>
        <w:t xml:space="preserve">Apply a small amount of super glue to the raised edges of the opening, place the window directly on top, and remove any excess glue with a cotton swab. Keep the centre of the window free of glue.</w:t>
      </w:r>
    </w:p>
    <w:p>
      <w:pPr>
        <w:numPr>
          <w:ilvl w:val="0"/>
          <w:numId w:val="1004"/>
        </w:numPr>
      </w:pPr>
      <w:r>
        <w:t xml:space="preserve">Let the glue harden so the window is held securely inside the lid.</w:t>
      </w:r>
    </w:p>
    <w:p>
      <w:pPr>
        <w:numPr>
          <w:ilvl w:val="0"/>
          <w:numId w:val="1004"/>
        </w:numPr>
      </w:pPr>
      <w:r>
        <w:t xml:space="preserve">Test-fit the soldered board from §2.1 as in Figure 2. Fold it so the positive (+) side of the battery faces the bottom of the case and the top of the Arduino faces the lid. Use the extra space on the left for the wires, so the Arduino sits flat.</w:t>
      </w:r>
    </w:p>
    <w:p>
      <w:pPr>
        <w:numPr>
          <w:ilvl w:val="0"/>
          <w:numId w:val="1004"/>
        </w:numPr>
      </w:pPr>
      <w:r>
        <w:t xml:space="preserve">Close the lid, with its micro-USB groove lined up with the Arduino’s micro-USB socket. The proximity sensor (APDS9960) should sit directly under the window (Figure 6). Then open the lid again: the case is closed for good at deployment (§6).</w:t>
      </w:r>
    </w:p>
    <w:p>
      <w:pPr>
        <w:numPr>
          <w:ilvl w:val="0"/>
          <w:numId w:val="1000"/>
        </w:numPr>
        <w:pStyle w:val="CaptionedFigure"/>
      </w:pPr>
      <w:r>
        <w:drawing>
          <wp:inline>
            <wp:extent cx="3200400" cy="1908469"/>
            <wp:effectExtent b="0" l="0" r="0" t="0"/>
            <wp:docPr descr="Figure 6. With the lid closed, the APDS9960 sensor sits directly under the window (left). Location of the APDS9960 on the board (right; image: Arduino)." title="" id="39" name="Picture"/>
            <a:graphic>
              <a:graphicData uri="http://schemas.openxmlformats.org/drawingml/2006/picture">
                <pic:pic>
                  <pic:nvPicPr>
                    <pic:cNvPr descr="images/sop/sensor_window_and_location.jpeg" id="40" name="Picture"/>
                    <pic:cNvPicPr>
                      <a:picLocks noChangeArrowheads="1" noChangeAspect="1"/>
                    </pic:cNvPicPr>
                  </pic:nvPicPr>
                  <pic:blipFill>
                    <a:blip r:embed="rId38"/>
                    <a:stretch>
                      <a:fillRect/>
                    </a:stretch>
                  </pic:blipFill>
                  <pic:spPr bwMode="auto">
                    <a:xfrm>
                      <a:off x="0" y="0"/>
                      <a:ext cx="3200400" cy="1908469"/>
                    </a:xfrm>
                    <a:prstGeom prst="rect">
                      <a:avLst/>
                    </a:prstGeom>
                    <a:noFill/>
                    <a:ln w="9525">
                      <a:noFill/>
                      <a:headEnd/>
                      <a:tailEnd/>
                    </a:ln>
                  </pic:spPr>
                </pic:pic>
              </a:graphicData>
            </a:graphic>
          </wp:inline>
        </w:drawing>
      </w:r>
    </w:p>
    <w:p>
      <w:pPr>
        <w:numPr>
          <w:ilvl w:val="0"/>
          <w:numId w:val="1000"/>
        </w:numPr>
        <w:pStyle w:val="ImageCaption"/>
      </w:pPr>
      <w:r>
        <w:t xml:space="preserve">Figure 6. With the lid closed, the APDS9960 sensor sits directly under the window (left). Location of the APDS9960 on the board (right; image: Arduino).</w:t>
      </w:r>
    </w:p>
    <w:p>
      <w:pPr>
        <w:numPr>
          <w:ilvl w:val="0"/>
          <w:numId w:val="1000"/>
        </w:numPr>
      </w:pPr>
      <w:r>
        <w:t xml:space="preserve">If the proximity sensor sits tilted because of the gap between the Arduino and the coin cell holder, place a thin piece of non-conductive EVA foam in the gap so the sensor sits flat under the window.</w:t>
      </w:r>
    </w:p>
    <w:p>
      <w:pPr>
        <w:pStyle w:val="FirstParagraph"/>
      </w:pPr>
      <w:r>
        <w:t xml:space="preserve">Once done, label each logger (e.g. with a device number) so recordings can be matched to devices.</w:t>
      </w:r>
    </w:p>
    <w:bookmarkEnd w:id="41"/>
    <w:bookmarkEnd w:id="42"/>
    <w:bookmarkStart w:id="52" w:name="software-setup"/>
    <w:p>
      <w:pPr>
        <w:pStyle w:val="Heading1"/>
      </w:pPr>
      <w:r>
        <w:t xml:space="preserve">3. Software setup</w:t>
      </w:r>
    </w:p>
    <w:bookmarkStart w:id="43" w:name="firmware-tools"/>
    <w:p>
      <w:pPr>
        <w:pStyle w:val="Heading2"/>
      </w:pPr>
      <w:r>
        <w:t xml:space="preserve">3.1 Firmware tools</w:t>
      </w:r>
    </w:p>
    <w:p>
      <w:pPr>
        <w:pStyle w:val="FirstParagraph"/>
      </w:pPr>
      <w:r>
        <w:t xml:space="preserve">The Arduino IDE is a program used to load the firmware onto the logger.</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bookmarkEnd w:id="43"/>
    <w:bookmarkStart w:id="47" w:name="flashing-the-logger"/>
    <w:p>
      <w:pPr>
        <w:pStyle w:val="Heading2"/>
      </w:pPr>
      <w:r>
        <w:t xml:space="preserve">3.2 Flashing the logger</w:t>
      </w:r>
    </w:p>
    <w:p>
      <w:pPr>
        <w:pStyle w:val="BlockText"/>
        <w:pBdr>
          <w:left w:val="single" w:sz="18" w:space="8" w:color="1F4E79"/>
        </w:pBdr>
        <w:shd w:val="clear" w:color="auto" w:fill="F2F6FA"/>
      </w:pPr>
      <w:r>
        <w:rPr>
          <w:bCs/>
          <w:b/>
        </w:rPr>
        <w:t xml:space="preserve">Remove the coin cell before connecting USB</w:t>
      </w:r>
      <w:r>
        <w:t xml:space="preserve"> </w:t>
      </w:r>
      <w:r>
        <w:t xml:space="preserve">whenever the 3.3 V jumper on the back of the board is intact or bridged. With the jumper closed, the board’s own 3.3 V supply would push current into the coin cell, which is not rechargeable.</w:t>
      </w:r>
    </w:p>
    <w:p>
      <w:pPr>
        <w:numPr>
          <w:ilvl w:val="0"/>
          <w:numId w:val="1006"/>
        </w:numPr>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Pr>
      <w:r>
        <w:t xml:space="preserve">Connect the logger to the computer by USB (no coin cell). In the Arduino IDE, open</w:t>
      </w:r>
      <w:r>
        <w:t xml:space="preserve"> </w:t>
      </w:r>
      <w:r>
        <w:rPr>
          <w:rStyle w:val="VerbatimChar"/>
        </w:rPr>
        <w:t xml:space="preserve">collect_temperature/collect_temperature.ino</w:t>
      </w:r>
      <w:r>
        <w:t xml:space="preserve">.</w:t>
      </w:r>
    </w:p>
    <w:p>
      <w:pPr>
        <w:numPr>
          <w:ilvl w:val="0"/>
          <w:numId w:val="1006"/>
        </w:numPr>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0"/>
        </w:numPr>
      </w:pPr>
      <w:r>
        <w:t xml:space="preserve">If the upload fails or no port is listed: check that the cable is a data cable and try another USB port. If it still fails, press the board’s reset button twice quickly (the orange light pulses slowly, meaning it is ready to be flashed), then click</w:t>
      </w:r>
      <w:r>
        <w:t xml:space="preserve"> </w:t>
      </w:r>
      <w:r>
        <w:rPr>
          <w:bCs/>
          <w:b/>
        </w:rPr>
        <w:t xml:space="preserve">Upload</w:t>
      </w:r>
      <w:r>
        <w:t xml:space="preserve"> </w:t>
      </w:r>
      <w:r>
        <w:t xml:space="preserve">again.</w:t>
      </w:r>
    </w:p>
    <w:p>
      <w:pPr>
        <w:numPr>
          <w:ilvl w:val="0"/>
          <w:numId w:val="1006"/>
        </w:numPr>
      </w:pPr>
      <w:r>
        <w:t xml:space="preserve">After flashing, the board restarts in state 1 (idle; not initialized): the green light is on.</w:t>
      </w:r>
    </w:p>
    <w:p>
      <w:pPr>
        <w:numPr>
          <w:ilvl w:val="0"/>
          <w:numId w:val="1006"/>
        </w:numPr>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bCs/>
          <w:b/>
        </w:rPr>
        <w:t xml:space="preserve">Hello World!</w:t>
      </w:r>
      <w:r>
        <w:t xml:space="preserve">. Close the Serial Monitor afterwards, because only one program can use the connection at a time.</w:t>
      </w:r>
    </w:p>
    <w:p>
      <w:pPr>
        <w:numPr>
          <w:ilvl w:val="0"/>
          <w:numId w:val="1006"/>
        </w:numPr>
      </w:pPr>
      <w:r>
        <w:t xml:space="preserve">Disconnect the micro-USB cable, then</w:t>
      </w:r>
      <w:r>
        <w:t xml:space="preserve"> </w:t>
      </w:r>
      <w:r>
        <w:rPr>
          <w:bCs/>
          <w:b/>
        </w:rPr>
        <w:t xml:space="preserve">cut the 3.3 V jumper trace</w:t>
      </w:r>
      <w:r>
        <w:t xml:space="preserve"> </w:t>
      </w:r>
      <w:r>
        <w:t xml:space="preserve">on the back of the board (Figure 7). This stops the board’s regulator and USB circuitry from drawing power, which keeps the resting current low (below about 750 µA).</w:t>
      </w:r>
    </w:p>
    <w:p>
      <w:pPr>
        <w:numPr>
          <w:ilvl w:val="0"/>
          <w:numId w:val="1000"/>
        </w:numPr>
        <w:pStyle w:val="CaptionedFigure"/>
      </w:pPr>
      <w:r>
        <w:drawing>
          <wp:inline>
            <wp:extent cx="1600200" cy="2478424"/>
            <wp:effectExtent b="0" l="0" r="0" t="0"/>
            <wp:docPr descr="Figure 7. Cut the 3.3 V jumper trace on the underside of the Arduino board." title="" id="45" name="Picture"/>
            <a:graphic>
              <a:graphicData uri="http://schemas.openxmlformats.org/drawingml/2006/picture">
                <pic:pic>
                  <pic:nvPicPr>
                    <pic:cNvPr descr="images/sop/cut_3v3_trace.png" id="46" name="Picture"/>
                    <pic:cNvPicPr>
                      <a:picLocks noChangeArrowheads="1" noChangeAspect="1"/>
                    </pic:cNvPicPr>
                  </pic:nvPicPr>
                  <pic:blipFill>
                    <a:blip r:embed="rId44"/>
                    <a:stretch>
                      <a:fillRect/>
                    </a:stretch>
                  </pic:blipFill>
                  <pic:spPr bwMode="auto">
                    <a:xfrm>
                      <a:off x="0" y="0"/>
                      <a:ext cx="1600200" cy="2478424"/>
                    </a:xfrm>
                    <a:prstGeom prst="rect">
                      <a:avLst/>
                    </a:prstGeom>
                    <a:noFill/>
                    <a:ln w="9525">
                      <a:noFill/>
                      <a:headEnd/>
                      <a:tailEnd/>
                    </a:ln>
                  </pic:spPr>
                </pic:pic>
              </a:graphicData>
            </a:graphic>
          </wp:inline>
        </w:drawing>
      </w:r>
    </w:p>
    <w:p>
      <w:pPr>
        <w:numPr>
          <w:ilvl w:val="0"/>
          <w:numId w:val="1000"/>
        </w:numPr>
        <w:pStyle w:val="ImageCaption"/>
      </w:pPr>
      <w:r>
        <w:t xml:space="preserve">Figure 7. Cut the 3.3 V jumper trace on the underside of the Arduino board.</w:t>
      </w:r>
    </w:p>
    <w:p>
      <w:pPr>
        <w:pStyle w:val="FirstParagraph"/>
      </w:pPr>
      <w:r>
        <w:t xml:space="preserve">With the jumper cut, USB alone does not power the logger: the coin cell must be connected whenever the logger is used with the app (Initialize, Download). To update the firmware after the jumper has been cut, first bridge the 3.3 V jumper with a small solder bridge, remove the coin cell, and repeat steps 2–6 of this section.</w:t>
      </w:r>
    </w:p>
    <w:bookmarkEnd w:id="47"/>
    <w:bookmarkStart w:id="51" w:name="installing-the-app"/>
    <w:p>
      <w:pPr>
        <w:pStyle w:val="Heading2"/>
      </w:pPr>
      <w:r>
        <w:t xml:space="preserve">3.3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rPr>
          <w:bCs/>
          <w:b/>
        </w:rPr>
        <w:t xml:space="preserve">Windows protected your PC</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8).</w:t>
      </w:r>
    </w:p>
    <w:p>
      <w:pPr>
        <w:pStyle w:val="CaptionedFigure"/>
      </w:pPr>
      <w:r>
        <w:drawing>
          <wp:inline>
            <wp:extent cx="4267200" cy="2444496"/>
            <wp:effectExtent b="0" l="0" r="0" t="0"/>
            <wp:docPr descr="Figure 8. The app’s home page." title="" id="49" name="Picture"/>
            <a:graphic>
              <a:graphicData uri="http://schemas.openxmlformats.org/drawingml/2006/picture">
                <pic:pic>
                  <pic:nvPicPr>
                    <pic:cNvPr descr="images/app_home.png" id="50" name="Picture"/>
                    <pic:cNvPicPr>
                      <a:picLocks noChangeArrowheads="1" noChangeAspect="1"/>
                    </pic:cNvPicPr>
                  </pic:nvPicPr>
                  <pic:blipFill>
                    <a:blip r:embed="rId48"/>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8. The app’s home page.</w:t>
      </w:r>
    </w:p>
    <w:p>
      <w:pPr>
        <w:pStyle w:val="BodyText"/>
      </w:pPr>
      <w:r>
        <w:t xml:space="preserve">Keep the browser tab open while you use the app. The app runs only while its tab is open. About 5 minutes after the tab is closed it shuts itself down; you will have to start it again to continue.</w:t>
      </w:r>
    </w:p>
    <w:p>
      <w:pPr>
        <w:pStyle w:val="BodyText"/>
      </w:pPr>
      <w:r>
        <w:t xml:space="preserve">To update the app later, download the newer release and replace the old folder.</w:t>
      </w:r>
    </w:p>
    <w:bookmarkEnd w:id="51"/>
    <w:bookmarkEnd w:id="52"/>
    <w:bookmarkStart w:id="53" w:name="pre-deployment-checklist"/>
    <w:p>
      <w:pPr>
        <w:pStyle w:val="Heading1"/>
      </w:pPr>
      <w:r>
        <w:t xml:space="preserve">4. Pre-deployment checklist</w:t>
      </w:r>
    </w:p>
    <w:p>
      <w:pPr>
        <w:numPr>
          <w:ilvl w:val="0"/>
          <w:numId w:val="1010"/>
        </w:numPr>
        <w:pStyle w:val="Compact"/>
      </w:pPr>
      <w:r>
        <w:t xml:space="preserve">☐ The logger is flashed with the current firmware (§3.2).</w:t>
      </w:r>
    </w:p>
    <w:p>
      <w:pPr>
        <w:numPr>
          <w:ilvl w:val="0"/>
          <w:numId w:val="1010"/>
        </w:numPr>
        <w:pStyle w:val="Compact"/>
      </w:pPr>
      <w:r>
        <w:t xml:space="preserve">☐ Any previous recording on this logger has been</w:t>
      </w:r>
      <w:r>
        <w:t xml:space="preserve"> </w:t>
      </w:r>
      <w:r>
        <w:rPr>
          <w:bCs/>
          <w:b/>
        </w:rPr>
        <w:t xml:space="preserve">downloaded and checked</w:t>
      </w:r>
      <w:r>
        <w:t xml:space="preserve"> </w:t>
      </w:r>
      <w:r>
        <w:t xml:space="preserve">(§7).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(§3.2).</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micro-USB data 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(§6).</w:t>
      </w:r>
    </w:p>
    <w:bookmarkEnd w:id="53"/>
    <w:bookmarkStart w:id="63" w:name="initializing-a-logger"/>
    <w:p>
      <w:pPr>
        <w:pStyle w:val="Heading1"/>
      </w:pPr>
      <w:r>
        <w:t xml:space="preserve">5.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w:t>
      </w:r>
      <w:r>
        <w:t xml:space="preserve"> </w:t>
      </w:r>
      <w:r>
        <w:rPr>
          <w:bCs/>
          <w:b/>
        </w:rPr>
        <w:t xml:space="preserve">The cell must stay connected</w:t>
      </w:r>
      <w:r>
        <w:t xml:space="preserve">: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rPr>
          <w:bCs/>
          <w:b/>
        </w:rPr>
        <w:t xml:space="preserve">No device found</w:t>
      </w:r>
      <w:r>
        <w:t xml:space="preserve"> </w:t>
      </w:r>
      <w:r>
        <w:t xml:space="preserve">(Figure 9), see §10.</w:t>
      </w:r>
    </w:p>
    <w:p>
      <w:pPr>
        <w:numPr>
          <w:ilvl w:val="0"/>
          <w:numId w:val="1011"/>
        </w:numPr>
        <w:pStyle w:val="Compact"/>
      </w:pPr>
      <w:r>
        <w:t xml:space="preserve">Fill in the form (Figure 10):</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 Eastern time on a 24-hour clock,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11). The logger has now powered down (all lights off) and its USB connection drops;</w:t>
      </w:r>
      <w:r>
        <w:t xml:space="preserve"> </w:t>
      </w:r>
      <w:r>
        <w:rPr>
          <w:bCs/>
          <w:b/>
        </w:rPr>
        <w:t xml:space="preserve">this is expected</w:t>
      </w:r>
      <w:r>
        <w:t xml:space="preserve">.</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9. “No device found”: the logger is not connected, its coin cell is not connected, or it is still collecting data." title="" id="55" name="Picture"/>
            <a:graphic>
              <a:graphicData uri="http://schemas.openxmlformats.org/drawingml/2006/picture">
                <pic:pic>
                  <pic:nvPicPr>
                    <pic:cNvPr descr="images/app_no_device.png" id="56" name="Picture"/>
                    <pic:cNvPicPr>
                      <a:picLocks noChangeArrowheads="1" noChangeAspect="1"/>
                    </pic:cNvPicPr>
                  </pic:nvPicPr>
                  <pic:blipFill>
                    <a:blip r:embed="rId54"/>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9.</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10. Initialize form: start time (Eastern, 24-hour) and participant ID." title="" id="58" name="Picture"/>
            <a:graphic>
              <a:graphicData uri="http://schemas.openxmlformats.org/drawingml/2006/picture">
                <pic:pic>
                  <pic:nvPicPr>
                    <pic:cNvPr descr="images/app_initialize_form.png" id="59" name="Picture"/>
                    <pic:cNvPicPr>
                      <a:picLocks noChangeArrowheads="1" noChangeAspect="1"/>
                    </pic:cNvPicPr>
                  </pic:nvPicPr>
                  <pic:blipFill>
                    <a:blip r:embed="rId5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10. Initialize form: start time (Eastern, 24-hour) and participant ID.</w:t>
      </w:r>
    </w:p>
    <w:p>
      <w:pPr>
        <w:pStyle w:val="CaptionedFigure"/>
      </w:pPr>
      <w:r>
        <w:drawing>
          <wp:inline>
            <wp:extent cx="2933700" cy="2420302"/>
            <wp:effectExtent b="0" l="0" r="0" t="0"/>
            <wp:docPr descr="Figure 11. Initialize succeeded: the logger has powered down and starts collecting data the next time it is powered on." title="" id="61" name="Picture"/>
            <a:graphic>
              <a:graphicData uri="http://schemas.openxmlformats.org/drawingml/2006/picture">
                <pic:pic>
                  <pic:nvPicPr>
                    <pic:cNvPr descr="images/app_initialize_done.png" id="62" name="Picture"/>
                    <pic:cNvPicPr>
                      <a:picLocks noChangeArrowheads="1" noChangeAspect="1"/>
                    </pic:cNvPicPr>
                  </pic:nvPicPr>
                  <pic:blipFill>
                    <a:blip r:embed="rId6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11.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(§6).</w:t>
      </w:r>
    </w:p>
    <w:bookmarkEnd w:id="63"/>
    <w:bookmarkStart w:id="64" w:name="deployment"/>
    <w:p>
      <w:pPr>
        <w:pStyle w:val="Heading1"/>
      </w:pPr>
      <w:r>
        <w:t xml:space="preserve">6. Deployment</w:t>
      </w:r>
    </w:p>
    <w:p>
      <w:pPr>
        <w:numPr>
          <w:ilvl w:val="0"/>
          <w:numId w:val="1013"/>
        </w:numPr>
        <w:pStyle w:val="Compact"/>
      </w:pPr>
      <w:r>
        <w:t xml:space="preserve">At the start time entered in §5,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§5.)</w:t>
      </w:r>
    </w:p>
    <w:p>
      <w:pPr>
        <w:numPr>
          <w:ilvl w:val="0"/>
          <w:numId w:val="1013"/>
        </w:numPr>
        <w:pStyle w:val="Compact"/>
      </w:pPr>
      <w:r>
        <w:t xml:space="preserve">Fit the device into its case and close the lid, as in Figure 6.</w:t>
      </w:r>
    </w:p>
    <w:p>
      <w:pPr>
        <w:numPr>
          <w:ilvl w:val="0"/>
          <w:numId w:val="1013"/>
        </w:numPr>
        <w:pStyle w:val="Compact"/>
      </w:pPr>
      <w:r>
        <w:t xml:space="preserve">Secure the case into the participant’s splint with the Chicago screws, with fresh skin-friendly tape on the skin-contact face. The case’s place in the splint is moulded by the PI (an orthopedist) when the participant’s splint itself is moulded.</w:t>
      </w:r>
    </w:p>
    <w:p>
      <w:pPr>
        <w:numPr>
          <w:ilvl w:val="0"/>
          <w:numId w:val="1013"/>
        </w:numPr>
        <w:pStyle w:val="Compact"/>
      </w:pPr>
      <w:r>
        <w:t xml:space="preserve">Give the participant their instructions, based on the study protocol (e.g. wearing schedule, keeping the splint away from moisture, and what to do if the device is knocked or comes loose).</w:t>
      </w:r>
    </w:p>
    <w:p>
      <w:pPr>
        <w:pStyle w:val="BlockText"/>
        <w:pBdr>
          <w:left w:val="single" w:sz="18" w:space="8" w:color="1F4E79"/>
        </w:pBdr>
        <w:shd w:val="clear" w:color="auto" w:fill="F2F6FA"/>
      </w:pPr>
      <w:r>
        <w:rPr>
          <w:bCs/>
          <w:b/>
        </w:rPr>
        <w:t xml:space="preserve">Note.</w:t>
      </w:r>
      <w:r>
        <w:t xml:space="preserve"> </w:t>
      </w:r>
      <w:r>
        <w:t xml:space="preserve">Plan deployments for</w:t>
      </w:r>
      <w:r>
        <w:t xml:space="preserve"> </w:t>
      </w:r>
      <w:r>
        <w:rPr>
          <w:bCs/>
          <w:b/>
        </w:rPr>
        <w:t xml:space="preserve">about one month at most</w:t>
      </w:r>
      <w:r>
        <w:t xml:space="preserve">. The longest full recording tested lasted about 36 days. With the current firmware, the logger’s internal timer rolls over at around 49.7 days, and its sampling can get affected. Also, the onboard storage becomes full about after 52 days (15000 readings at one every 5 minutes).</w:t>
      </w:r>
    </w:p>
    <w:bookmarkEnd w:id="64"/>
    <w:bookmarkStart w:id="73" w:name="downloading-data"/>
    <w:p>
      <w:pPr>
        <w:pStyle w:val="Heading1"/>
      </w:pPr>
      <w:r>
        <w:t xml:space="preserve">7. Downloading data</w:t>
      </w:r>
    </w:p>
    <w:bookmarkStart w:id="71" w:name="download"/>
    <w:p>
      <w:pPr>
        <w:pStyle w:val="Heading2"/>
      </w:pPr>
      <w:r>
        <w:t xml:space="preserve">7.1 Download</w:t>
      </w:r>
    </w:p>
    <w:p>
      <w:pPr>
        <w:numPr>
          <w:ilvl w:val="0"/>
          <w:numId w:val="1014"/>
        </w:numPr>
      </w:pPr>
      <w:r>
        <w:t xml:space="preserve">At the end of the deployment, power-cycle the logger once (unplug the coin cell and plug it back in) to bring it to state 4 (green light on; Figure 1). Note the real time of the power-cycle in the deployment log.</w:t>
      </w:r>
    </w:p>
    <w:p>
      <w:pPr>
        <w:numPr>
          <w:ilvl w:val="0"/>
          <w:numId w:val="1014"/>
        </w:numPr>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5"/>
        </w:numPr>
        <w:pStyle w:val="Compact"/>
      </w:pPr>
      <w:r>
        <w:rPr>
          <w:bCs/>
          <w:b/>
        </w:rPr>
        <w:t xml:space="preserve">This device has not been initialized…</w:t>
      </w:r>
      <w:r>
        <w:t xml:space="preserve">: the logger holds no recording.</w:t>
      </w:r>
    </w:p>
    <w:p>
      <w:pPr>
        <w:numPr>
          <w:ilvl w:val="1"/>
          <w:numId w:val="1015"/>
        </w:numPr>
        <w:pStyle w:val="Compact"/>
      </w:pPr>
      <w:r>
        <w:rPr>
          <w:bCs/>
          <w:b/>
        </w:rPr>
        <w:t xml:space="preserve">No device found</w:t>
      </w:r>
      <w:r>
        <w:t xml:space="preserve">: see §10.</w:t>
      </w:r>
    </w:p>
    <w:p>
      <w:pPr>
        <w:numPr>
          <w:ilvl w:val="0"/>
          <w:numId w:val="1014"/>
        </w:numPr>
      </w:pPr>
      <w:r>
        <w:t xml:space="preserve">Enter a</w:t>
      </w:r>
      <w:r>
        <w:t xml:space="preserve"> </w:t>
      </w:r>
      <w:r>
        <w:rPr>
          <w:bCs/>
          <w:b/>
        </w:rPr>
        <w:t xml:space="preserve">File name</w:t>
      </w:r>
      <w:r>
        <w:t xml:space="preserve"> </w:t>
      </w:r>
      <w:r>
        <w:t xml:space="preserve">(Figure 12).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4"/>
        </w:numPr>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13).</w:t>
      </w:r>
    </w:p>
    <w:p>
      <w:pPr>
        <w:numPr>
          <w:ilvl w:val="0"/>
          <w:numId w:val="1000"/>
        </w:numPr>
        <w:pStyle w:val="CaptionedFigure"/>
      </w:pPr>
      <w:r>
        <w:drawing>
          <wp:inline>
            <wp:extent cx="2933700" cy="2420302"/>
            <wp:effectExtent b="0" l="0" r="0" t="0"/>
            <wp:docPr descr="Figure 12. Download: enter a file name and click Download Data." title="" id="66" name="Picture"/>
            <a:graphic>
              <a:graphicData uri="http://schemas.openxmlformats.org/drawingml/2006/picture">
                <pic:pic>
                  <pic:nvPicPr>
                    <pic:cNvPr descr="images/app_download_form.png" id="67" name="Picture"/>
                    <pic:cNvPicPr>
                      <a:picLocks noChangeArrowheads="1" noChangeAspect="1"/>
                    </pic:cNvPicPr>
                  </pic:nvPicPr>
                  <pic:blipFill>
                    <a:blip r:embed="rId65"/>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12. Download: enter a file name and click Download Data.</w:t>
      </w:r>
    </w:p>
    <w:p>
      <w:pPr>
        <w:numPr>
          <w:ilvl w:val="0"/>
          <w:numId w:val="1000"/>
        </w:numPr>
        <w:pStyle w:val="CaptionedFigure"/>
      </w:pPr>
      <w:r>
        <w:drawing>
          <wp:inline>
            <wp:extent cx="2933700" cy="2420302"/>
            <wp:effectExtent b="0" l="0" r="0" t="0"/>
            <wp:docPr descr="Figure 13. Download complete. The CSV file is saved through the browser." title="" id="69" name="Picture"/>
            <a:graphic>
              <a:graphicData uri="http://schemas.openxmlformats.org/drawingml/2006/picture">
                <pic:pic>
                  <pic:nvPicPr>
                    <pic:cNvPr descr="images/app_download_done.png" id="70" name="Picture"/>
                    <pic:cNvPicPr>
                      <a:picLocks noChangeArrowheads="1" noChangeAspect="1"/>
                    </pic:cNvPicPr>
                  </pic:nvPicPr>
                  <pic:blipFill>
                    <a:blip r:embed="rId68"/>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13. Download complete. The CSV file is saved through the browser.</w:t>
      </w:r>
    </w:p>
    <w:p>
      <w:pPr>
        <w:numPr>
          <w:ilvl w:val="0"/>
          <w:numId w:val="1014"/>
        </w:numPr>
      </w:pPr>
      <w:r>
        <w:t xml:space="preserve">The file is saved through the browser, normally to your Downloads folder. Move it to the study’s data storage.</w:t>
      </w:r>
    </w:p>
    <w:p>
      <w:pPr>
        <w:numPr>
          <w:ilvl w:val="0"/>
          <w:numId w:val="1014"/>
        </w:numPr>
      </w:pPr>
      <w:r>
        <w:t xml:space="preserve">Open it on the</w:t>
      </w:r>
      <w:r>
        <w:t xml:space="preserve"> </w:t>
      </w:r>
      <w:r>
        <w:rPr>
          <w:bCs/>
          <w:b/>
        </w:rPr>
        <w:t xml:space="preserve">Data Analysis</w:t>
      </w:r>
      <w:r>
        <w:t xml:space="preserve"> </w:t>
      </w:r>
      <w:r>
        <w:t xml:space="preserve">page (§8) to check that it looks complete before the logger is initialized again. Alternatively, you can manually inspect the downloaded CSV file.</w:t>
      </w:r>
    </w:p>
    <w:p>
      <w:pPr>
        <w:pStyle w:val="FirstParagraph"/>
      </w:pPr>
      <w:r>
        <w:t xml:space="preserve">Closing the Download window releases the logger. Power-cycling the logger in idle mode keeps it idle; the recording stays on it until the next Initialize.</w:t>
      </w:r>
    </w:p>
    <w:bookmarkEnd w:id="71"/>
    <w:bookmarkStart w:id="72" w:name="if-the-start-time-is-missing"/>
    <w:p>
      <w:pPr>
        <w:pStyle w:val="Heading2"/>
      </w:pPr>
      <w:r>
        <w:t xml:space="preserve">7.2 If the start time is missing</w:t>
      </w:r>
    </w:p>
    <w:p>
      <w:pPr>
        <w:pStyle w:val="FirstParagraph"/>
      </w:pPr>
      <w:r>
        <w:t xml:space="preserve">If the logger lost its settings (for example after re-flashing, §3.2),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6"/>
        </w:numPr>
        <w:pStyle w:val="Compact"/>
      </w:pPr>
      <w:r>
        <w:t xml:space="preserve">Enter the start date and time (Eastern) that was used when the logger was initialized (from the deployment log).</w:t>
      </w:r>
    </w:p>
    <w:p>
      <w:pPr>
        <w:numPr>
          <w:ilvl w:val="0"/>
          <w:numId w:val="1016"/>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6"/>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72"/>
    <w:bookmarkEnd w:id="73"/>
    <w:bookmarkStart w:id="86" w:name="analyzing-data"/>
    <w:p>
      <w:pPr>
        <w:pStyle w:val="Heading1"/>
      </w:pPr>
      <w:r>
        <w:t xml:space="preserve">8. Analyzing data</w:t>
      </w:r>
    </w:p>
    <w:p>
      <w:pPr>
        <w:numPr>
          <w:ilvl w:val="0"/>
          <w:numId w:val="1017"/>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7"/>
        </w:numPr>
        <w:pStyle w:val="Compact"/>
      </w:pPr>
      <w:r>
        <w:t xml:space="preserve">The page shows (Figures 14–17):</w:t>
      </w:r>
    </w:p>
    <w:p>
      <w:pPr>
        <w:numPr>
          <w:ilvl w:val="1"/>
          <w:numId w:val="1018"/>
        </w:numPr>
        <w:pStyle w:val="Compact"/>
      </w:pPr>
      <w:r>
        <w:rPr>
          <w:bCs/>
          <w:b/>
        </w:rPr>
        <w:t xml:space="preserve">File Information</w:t>
      </w:r>
      <w:r>
        <w:t xml:space="preserve">: the start time, sampling interval, participant ID and time zone from the file.</w:t>
      </w:r>
    </w:p>
    <w:p>
      <w:pPr>
        <w:numPr>
          <w:ilvl w:val="1"/>
          <w:numId w:val="1018"/>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8"/>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8"/>
        </w:numPr>
        <w:pStyle w:val="Compact"/>
      </w:pPr>
      <w:r>
        <w:rPr>
          <w:bCs/>
          <w:b/>
        </w:rPr>
        <w:t xml:space="preserve">Wear Periods by Hour of Day</w:t>
      </w:r>
      <w:r>
        <w:t xml:space="preserve">: one column per day showing when the splint was worn.</w:t>
      </w:r>
    </w:p>
    <w:p>
      <w:pPr>
        <w:numPr>
          <w:ilvl w:val="0"/>
          <w:numId w:val="1017"/>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 simulated data, so real recordings will look less regular.</w:t>
      </w:r>
    </w:p>
    <w:p>
      <w:pPr>
        <w:pStyle w:val="CaptionedFigure"/>
      </w:pPr>
      <w:r>
        <w:drawing>
          <wp:inline>
            <wp:extent cx="5334000" cy="1531620"/>
            <wp:effectExtent b="0" l="0" r="0" t="0"/>
            <wp:docPr descr="Figure 14. Upload and file information (simulated data)." title="" id="75" name="Picture"/>
            <a:graphic>
              <a:graphicData uri="http://schemas.openxmlformats.org/drawingml/2006/picture">
                <pic:pic>
                  <pic:nvPicPr>
                    <pic:cNvPr descr="images/app_analysis_upload.png" id="76" name="Picture"/>
                    <pic:cNvPicPr>
                      <a:picLocks noChangeArrowheads="1" noChangeAspect="1"/>
                    </pic:cNvPicPr>
                  </pic:nvPicPr>
                  <pic:blipFill>
                    <a:blip r:embed="rId74"/>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14. Upload and file information (simulated data).</w:t>
      </w:r>
    </w:p>
    <w:p>
      <w:pPr>
        <w:pStyle w:val="CaptionedFigure"/>
      </w:pPr>
      <w:r>
        <w:drawing>
          <wp:inline>
            <wp:extent cx="5334000" cy="4377690"/>
            <wp:effectExtent b="0" l="0" r="0" t="0"/>
            <wp:docPr descr="Figure 15. Detected wear events: traces with shaded wear periods, and the events table (simulated data)." title="" id="78" name="Picture"/>
            <a:graphic>
              <a:graphicData uri="http://schemas.openxmlformats.org/drawingml/2006/picture">
                <pic:pic>
                  <pic:nvPicPr>
                    <pic:cNvPr descr="images/app_analysis_events.png" id="79" name="Picture"/>
                    <pic:cNvPicPr>
                      <a:picLocks noChangeArrowheads="1" noChangeAspect="1"/>
                    </pic:cNvPicPr>
                  </pic:nvPicPr>
                  <pic:blipFill>
                    <a:blip r:embed="rId77"/>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15. Detected wear events: traces with shaded wear periods, and the events table (simulated data).</w:t>
      </w:r>
    </w:p>
    <w:p>
      <w:pPr>
        <w:pStyle w:val="CaptionedFigure"/>
      </w:pPr>
      <w:r>
        <w:drawing>
          <wp:inline>
            <wp:extent cx="5334000" cy="2785110"/>
            <wp:effectExtent b="0" l="0" r="0" t="0"/>
            <wp:docPr descr="Figure 16. Daily wear summary (simulated data)." title="" id="81" name="Picture"/>
            <a:graphic>
              <a:graphicData uri="http://schemas.openxmlformats.org/drawingml/2006/picture">
                <pic:pic>
                  <pic:nvPicPr>
                    <pic:cNvPr descr="images/app_analysis_daily.png" id="82" name="Picture"/>
                    <pic:cNvPicPr>
                      <a:picLocks noChangeArrowheads="1" noChangeAspect="1"/>
                    </pic:cNvPicPr>
                  </pic:nvPicPr>
                  <pic:blipFill>
                    <a:blip r:embed="rId80"/>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16. Daily wear summary (simulated data).</w:t>
      </w:r>
    </w:p>
    <w:p>
      <w:pPr>
        <w:pStyle w:val="CaptionedFigure"/>
      </w:pPr>
      <w:r>
        <w:drawing>
          <wp:inline>
            <wp:extent cx="5334000" cy="3139440"/>
            <wp:effectExtent b="0" l="0" r="0" t="0"/>
            <wp:docPr descr="Figure 17. Wear periods by hour of day (simulated data)." title="" id="84" name="Picture"/>
            <a:graphic>
              <a:graphicData uri="http://schemas.openxmlformats.org/drawingml/2006/picture">
                <pic:pic>
                  <pic:nvPicPr>
                    <pic:cNvPr descr="images/app_analysis_hourly.png" id="85" name="Picture"/>
                    <pic:cNvPicPr>
                      <a:picLocks noChangeArrowheads="1" noChangeAspect="1"/>
                    </pic:cNvPicPr>
                  </pic:nvPicPr>
                  <pic:blipFill>
                    <a:blip r:embed="rId83"/>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17.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BlockText"/>
        <w:pBdr>
          <w:left w:val="single" w:sz="18" w:space="8" w:color="1F4E79"/>
        </w:pBdr>
        <w:shd w:val="clear" w:color="auto" w:fill="F2F6FA"/>
      </w:pPr>
      <w:r>
        <w:rPr>
          <w:bCs/>
          <w:b/>
        </w:rPr>
        <w:t xml:space="preserve">Average Wear Time Per Day overstates adherence.</w:t>
      </w:r>
      <w:r>
        <w:t xml:space="preserve"> </w:t>
      </w:r>
      <w:r>
        <w:t xml:space="preserve">It is averaged only over days with at least one detected wear event, so days without wear are left out, and the partial first and last days of a recording count as full days. To estimate adherence, divide</w:t>
      </w:r>
      <w:r>
        <w:t xml:space="preserve"> </w:t>
      </w:r>
      <w:r>
        <w:rPr>
          <w:bCs/>
          <w:b/>
        </w:rPr>
        <w:t xml:space="preserve">Total Wear Time</w:t>
      </w:r>
      <w:r>
        <w:t xml:space="preserve"> </w:t>
      </w:r>
      <w:r>
        <w:t xml:space="preserve">by the number of days in the recording instead.</w:t>
      </w:r>
    </w:p>
    <w:bookmarkEnd w:id="86"/>
    <w:bookmarkStart w:id="87" w:name="data-handling"/>
    <w:p>
      <w:pPr>
        <w:pStyle w:val="Heading1"/>
      </w:pPr>
      <w:r>
        <w:t xml:space="preserve">9.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 low = covered (worn). Its baseline creeps upward over a long deployment; the analysis allows for this.</w:t>
            </w:r>
          </w:p>
        </w:tc>
      </w:tr>
    </w:tbl>
    <w:p>
      <w:pPr>
        <w:numPr>
          <w:ilvl w:val="0"/>
          <w:numId w:val="1019"/>
        </w:numPr>
        <w:pStyle w:val="Compact"/>
      </w:pPr>
      <w:r>
        <w:t xml:space="preserve">Keep a deployment log: device label, participant ID, firmware version, start time entered, actual power-on time, actual power-cycle (end) time, file name, and notes (device knocked, battery changed, splint removed for long periods, skin issues).</w:t>
      </w:r>
    </w:p>
    <w:p>
      <w:pPr>
        <w:numPr>
          <w:ilvl w:val="0"/>
          <w:numId w:val="1019"/>
        </w:numPr>
        <w:pStyle w:val="Compact"/>
      </w:pPr>
      <w:r>
        <w:t xml:space="preserve">Keep the original download untouched; if modified (i.e., corrected), save any copy alongside it.</w:t>
      </w:r>
    </w:p>
    <w:p>
      <w:pPr>
        <w:numPr>
          <w:ilvl w:val="0"/>
          <w:numId w:val="1019"/>
        </w:numPr>
        <w:pStyle w:val="Compact"/>
      </w:pPr>
      <w:r>
        <w:t xml:space="preserve">Use a study code, not a name, as the participant ID: it is stored on the logger, in the file and often in the file name.</w:t>
      </w:r>
    </w:p>
    <w:p>
      <w:pPr>
        <w:numPr>
          <w:ilvl w:val="0"/>
          <w:numId w:val="1019"/>
        </w:numPr>
        <w:pStyle w:val="Compact"/>
      </w:pPr>
      <w:r>
        <w:t xml:space="preserve">The PI and research team will need to plan for data governance and where study data are stored and who can access them (participant data). No policy exists yet; see Project Handover §1.2 item 4.</w:t>
      </w:r>
    </w:p>
    <w:bookmarkEnd w:id="87"/>
    <w:bookmarkStart w:id="88" w:name="troubleshooting"/>
    <w:p>
      <w:pPr>
        <w:pStyle w:val="Heading1"/>
      </w:pPr>
      <w:r>
        <w:t xml:space="preserve">10.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bCs/>
                <w:b/>
                <w:sz w:val="19"/>
              </w:rPr>
              <w:t xml:space="preserve">No device found</w:t>
            </w:r>
          </w:p>
        </w:tc>
        <w:tc>
          <w:tcPr/>
          <w:p>
            <w:pPr>
              <w:pStyle w:val="Compact"/>
              <w:jc w:val="left"/>
            </w:pPr>
            <w:r>
              <w:rPr>
                <w:sz w:val="19"/>
              </w:rPr>
              <w:t xml:space="preserve">Logger is still collecting data (most common), or not connected</w:t>
            </w:r>
          </w:p>
        </w:tc>
        <w:tc>
          <w:tcPr/>
          <w:p>
            <w:pPr>
              <w:pStyle w:val="Compact"/>
              <w:jc w:val="left"/>
            </w:pPr>
            <w:r>
              <w:rPr>
                <w:sz w:val="19"/>
              </w:rPr>
              <w:t xml:space="preserve">Power-cycle the logger once (press the reset button once, or unplug and replug the coin cell), check the green light is on, reconnect, click</w:t>
            </w:r>
            <w:r>
              <w:rPr>
                <w:sz w:val="19"/>
              </w:rPr>
              <w:t xml:space="preserve"> </w:t>
            </w:r>
            <w:r>
              <w:rPr>
                <w:bCs/>
                <w:b/>
                <w:sz w:val="19"/>
              </w:rPr>
              <w:t xml:space="preserve">Try Again</w:t>
            </w:r>
          </w:p>
        </w:tc>
      </w:tr>
      <w:tr>
        <w:tc>
          <w:tcPr/>
          <w:p>
            <w:pPr>
              <w:pStyle w:val="Compact"/>
              <w:jc w:val="left"/>
            </w:pPr>
            <w:r>
              <w:rPr>
                <w:bCs/>
                <w:b/>
                <w:sz w:val="19"/>
              </w:rPr>
              <w:t xml:space="preserve">No device found</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bCs/>
                <w:b/>
                <w:sz w:val="19"/>
              </w:rPr>
              <w:t xml:space="preserve">No device found</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(§7.2)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(§6)</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(§2.2); look at the raw traces</w:t>
            </w:r>
          </w:p>
        </w:tc>
      </w:tr>
      <w:tr>
        <w:tc>
          <w:tcPr/>
          <w:p>
            <w:pPr>
              <w:pStyle w:val="Compact"/>
              <w:jc w:val="left"/>
            </w:pPr>
            <w:r>
              <w:rPr>
                <w:sz w:val="19"/>
              </w:rPr>
              <w:t xml:space="preserve">Browser shows</w:t>
            </w:r>
            <w:r>
              <w:rPr>
                <w:sz w:val="19"/>
              </w:rPr>
              <w:t xml:space="preserve"> </w:t>
            </w:r>
            <w:r>
              <w:rPr>
                <w:bCs/>
                <w:b/>
                <w:sz w:val="19"/>
              </w:rPr>
              <w:t xml:space="preserve">Interface Terminated</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(§3.3)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and remove the coin cell (§3.2); data cable, another port; double-press reset and upload again</w:t>
            </w:r>
          </w:p>
        </w:tc>
      </w:tr>
    </w:tbl>
    <w:bookmarkEnd w:id="88"/>
    <w:bookmarkStart w:id="89" w:name="after-the-deployment"/>
    <w:p>
      <w:pPr>
        <w:pStyle w:val="Heading1"/>
      </w:pPr>
      <w:r>
        <w:t xml:space="preserve">11. After the deployment</w:t>
      </w:r>
    </w:p>
    <w:p>
      <w:pPr>
        <w:numPr>
          <w:ilvl w:val="0"/>
          <w:numId w:val="1020"/>
        </w:numPr>
        <w:pStyle w:val="Compact"/>
      </w:pPr>
      <w:r>
        <w:t xml:space="preserve">Download the recording (§7) and check it on the</w:t>
      </w:r>
      <w:r>
        <w:t xml:space="preserve"> </w:t>
      </w:r>
      <w:r>
        <w:rPr>
          <w:bCs/>
          <w:b/>
        </w:rPr>
        <w:t xml:space="preserve">Data Analysis</w:t>
      </w:r>
      <w:r>
        <w:t xml:space="preserve"> </w:t>
      </w:r>
      <w:r>
        <w:t xml:space="preserve">page (§8).</w:t>
      </w:r>
    </w:p>
    <w:p>
      <w:pPr>
        <w:numPr>
          <w:ilvl w:val="0"/>
          <w:numId w:val="1020"/>
        </w:numPr>
        <w:pStyle w:val="Compact"/>
      </w:pPr>
      <w:r>
        <w:t xml:space="preserve">Store the CSV with the deployment log (§9).</w:t>
      </w:r>
    </w:p>
    <w:p>
      <w:pPr>
        <w:numPr>
          <w:ilvl w:val="0"/>
          <w:numId w:val="1020"/>
        </w:numPr>
        <w:pStyle w:val="Compact"/>
      </w:pPr>
      <w:r>
        <w:t xml:space="preserve">Unscrew the case from the splint.</w:t>
      </w:r>
    </w:p>
    <w:p>
      <w:pPr>
        <w:numPr>
          <w:ilvl w:val="0"/>
          <w:numId w:val="1020"/>
        </w:numPr>
        <w:pStyle w:val="Compact"/>
      </w:pPr>
      <w:r>
        <w:t xml:space="preserve">Remove the coin cell and dispose of it safely, out of reach of children.</w:t>
      </w:r>
    </w:p>
    <w:p>
      <w:pPr>
        <w:numPr>
          <w:ilvl w:val="0"/>
          <w:numId w:val="1020"/>
        </w:numPr>
        <w:pStyle w:val="Compact"/>
      </w:pPr>
      <w:r>
        <w:t xml:space="preserve">Wipe the case, remove the old skin-friendly tape, and apply new tape before the next deployment.</w:t>
      </w:r>
    </w:p>
    <w:p>
      <w:pPr>
        <w:numPr>
          <w:ilvl w:val="0"/>
          <w:numId w:val="1020"/>
        </w:numPr>
        <w:pStyle w:val="Compact"/>
      </w:pPr>
      <w:r>
        <w:t xml:space="preserve">Note any problems (lights, error messages, short recordings) in the deployment log.</w:t>
      </w:r>
    </w:p>
    <w:bookmarkEnd w:id="89"/>
    <w:bookmarkStart w:id="90"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1"/>
        </w:numPr>
      </w:pPr>
      <w:r>
        <w:t xml:space="preserve">Install Python 3.11 or newer from python.org. On Windows, tick</w:t>
      </w:r>
      <w:r>
        <w:t xml:space="preserve"> </w:t>
      </w:r>
      <w:r>
        <w:rPr>
          <w:bCs/>
          <w:b/>
        </w:rPr>
        <w:t xml:space="preserve">Add Python to PATH</w:t>
      </w:r>
      <w:r>
        <w:t xml:space="preserve">.</w:t>
      </w:r>
    </w:p>
    <w:p>
      <w:pPr>
        <w:numPr>
          <w:ilvl w:val="0"/>
          <w:numId w:val="1021"/>
        </w:numPr>
      </w:pPr>
      <w:r>
        <w:t xml:space="preserve">Open a terminal in the project folder (the one containing</w:t>
      </w:r>
      <w:r>
        <w:t xml:space="preserve"> </w:t>
      </w:r>
      <w:r>
        <w:rPr>
          <w:rStyle w:val="VerbatimChar"/>
        </w:rPr>
        <w:t xml:space="preserve">app.py</w:t>
      </w:r>
      <w:r>
        <w:t xml:space="preserve">).</w:t>
      </w:r>
    </w:p>
    <w:p>
      <w:pPr>
        <w:numPr>
          <w:ilvl w:val="0"/>
          <w:numId w:val="1021"/>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1"/>
        </w:numPr>
      </w:pPr>
      <w:r>
        <w:t xml:space="preserve">The app opens in the browser as in §3.3.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90"/>
    <w:bookmarkStart w:id="91"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2"/>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2"/>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2"/>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2"/>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2"/>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(§3.2), after downloading its data.</w:t>
      </w:r>
    </w:p>
    <w:bookmarkEnd w:id="91"/>
    <w:bookmarkStart w:id="96" w:name="X90b4db90829aeafcc8f98a071b2c690d37f275d"/>
    <w:p>
      <w:pPr>
        <w:pStyle w:val="Heading1"/>
      </w:pPr>
      <w:r>
        <w:t xml:space="preserve">Appendix C. Tuning the wear-detection parameters (for analysts and developers)</w:t>
      </w:r>
    </w:p>
    <w:p>
      <w:pPr>
        <w:pStyle w:val="FirstParagraph"/>
      </w:pPr>
      <w:r>
        <w:t xml:space="preserve">The rules that use temperature and proximity values to estimate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92" w:name="c.1-collect-ground-truth"/>
    <w:p>
      <w:pPr>
        <w:pStyle w:val="Heading2"/>
      </w:pPr>
      <w:r>
        <w:t xml:space="preserve">C.1 Collect ground truth</w:t>
      </w:r>
    </w:p>
    <w:p>
      <w:pPr>
        <w:numPr>
          <w:ilvl w:val="0"/>
          <w:numId w:val="1023"/>
        </w:numPr>
        <w:pStyle w:val="Compact"/>
      </w:pPr>
      <w:r>
        <w:rPr>
          <w:bCs/>
          <w:b/>
        </w:rPr>
        <w:t xml:space="preserve">Wear diary:</w:t>
      </w:r>
      <w:r>
        <w:t xml:space="preserve"> </w:t>
      </w:r>
      <w:r>
        <w:t xml:space="preserve">the participant (or staff, in a supervised session) records on/off times.</w:t>
      </w:r>
    </w:p>
    <w:p>
      <w:pPr>
        <w:numPr>
          <w:ilvl w:val="0"/>
          <w:numId w:val="1023"/>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bookmarkEnd w:id="92"/>
    <w:bookmarkStart w:id="93" w:name="c.2-what-to-check"/>
    <w:p>
      <w:pPr>
        <w:pStyle w:val="Heading2"/>
      </w:pPr>
      <w:r>
        <w:t xml:space="preserve">C.2 What to check</w:t>
      </w:r>
    </w:p>
    <w:p>
      <w:pPr>
        <w:numPr>
          <w:ilvl w:val="0"/>
          <w:numId w:val="1024"/>
        </w:numPr>
        <w:pStyle w:val="Compact"/>
      </w:pPr>
      <w:r>
        <w:t xml:space="preserve">Agreement per event (start and end within one 5-minute reading) and per day (total wear minutes).</w:t>
      </w:r>
    </w:p>
    <w:p>
      <w:pPr>
        <w:numPr>
          <w:ilvl w:val="0"/>
          <w:numId w:val="1024"/>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4"/>
        </w:numPr>
        <w:pStyle w:val="Compact"/>
      </w:pPr>
      <w:r>
        <w:t xml:space="preserve">False wear in warm environments, and missed wear with a loose splint.</w:t>
      </w:r>
    </w:p>
    <w:bookmarkEnd w:id="93"/>
    <w:bookmarkStart w:id="94"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94"/>
    <w:bookmarkStart w:id="95" w:name="c.4-procedure"/>
    <w:p>
      <w:pPr>
        <w:pStyle w:val="Heading2"/>
      </w:pPr>
      <w:r>
        <w:t xml:space="preserve">C.4 Procedure</w:t>
      </w:r>
    </w:p>
    <w:p>
      <w:pPr>
        <w:numPr>
          <w:ilvl w:val="0"/>
          <w:numId w:val="1025"/>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5"/>
        </w:numPr>
        <w:pStyle w:val="Compact"/>
      </w:pPr>
      <w:r>
        <w:t xml:space="preserve">Run</w:t>
      </w:r>
      <w:r>
        <w:t xml:space="preserve"> </w:t>
      </w:r>
      <w:r>
        <w:rPr>
          <w:rStyle w:val="VerbatimChar"/>
        </w:rPr>
        <w:t xml:space="preserve">pytest</w:t>
      </w:r>
      <w:r>
        <w:t xml:space="preserve">; all tests should still pass.</w:t>
      </w:r>
    </w:p>
    <w:p>
      <w:pPr>
        <w:numPr>
          <w:ilvl w:val="0"/>
          <w:numId w:val="1025"/>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5"/>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5"/>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5"/>
        </w:numPr>
        <w:pStyle w:val="Compact"/>
      </w:pPr>
      <w:r>
        <w:t xml:space="preserve">Release a new app version (Appendix B). Older downloads can simply be re-opened in the new version, since the raw readings are unchanged.</w:t>
      </w:r>
    </w:p>
    <w:bookmarkEnd w:id="95"/>
    <w:bookmarkEnd w:id="96"/>
    <w:bookmarkStart w:id="97" w:name="X29c78ca3e0f6389cfa467f2787f32bd306c1a7e"/>
    <w:p>
      <w:pPr>
        <w:pStyle w:val="Heading1"/>
      </w:pPr>
      <w:r>
        <w:t xml:space="preserve">Appendix D. Checking clock drift (bench test)</w:t>
      </w:r>
    </w:p>
    <w:p>
      <w:pPr>
        <w:pStyle w:val="FirstParagraph"/>
      </w:pPr>
      <w:r>
        <w:t xml:space="preserve">The logger keeps time with its own clock, with no correction. Its drift is expected to be negligible (about 1–2 minutes a month; Project Handover §4.4). This one-off bench test measures it. It is not part of a deployment: it needs a known stop time while the battery is still good.</w:t>
      </w:r>
    </w:p>
    <w:p>
      <w:pPr>
        <w:numPr>
          <w:ilvl w:val="0"/>
          <w:numId w:val="1026"/>
        </w:numPr>
        <w:pStyle w:val="Compact"/>
      </w:pPr>
      <w:r>
        <w:t xml:space="preserve">Fit a new CR2450 and initialize the logger (§5) with a start time a few minutes ahead.</w:t>
      </w:r>
    </w:p>
    <w:p>
      <w:pPr>
        <w:numPr>
          <w:ilvl w:val="0"/>
          <w:numId w:val="1026"/>
        </w:numPr>
        <w:pStyle w:val="Compact"/>
      </w:pPr>
      <w:r>
        <w:t xml:space="preserve">Connect the coin cell exactly at that start time, read from a reliable clock (e.g. a phone set to automatic network time).</w:t>
      </w:r>
    </w:p>
    <w:p>
      <w:pPr>
        <w:numPr>
          <w:ilvl w:val="0"/>
          <w:numId w:val="1026"/>
        </w:numPr>
        <w:pStyle w:val="Compact"/>
      </w:pPr>
      <w:r>
        <w:t xml:space="preserve">Leave the logger on the bench, not worn, for a fixed period of 2–4 weeks. Stop well before a month, so the battery is still good and the timer rollover (about 49.7 days) is far away.</w:t>
      </w:r>
    </w:p>
    <w:p>
      <w:pPr>
        <w:numPr>
          <w:ilvl w:val="0"/>
          <w:numId w:val="1026"/>
        </w:numPr>
        <w:pStyle w:val="Compact"/>
      </w:pPr>
      <w:r>
        <w:t xml:space="preserve">Note the exact real time, then power-cycle the logger to stop data collection.</w:t>
      </w:r>
    </w:p>
    <w:p>
      <w:pPr>
        <w:numPr>
          <w:ilvl w:val="0"/>
          <w:numId w:val="1026"/>
        </w:numPr>
        <w:pStyle w:val="Compact"/>
      </w:pPr>
      <w:r>
        <w:t xml:space="preserve">Download the recording (§7). Compare the real elapsed time (stop time − start time) with the recorded elapsed time (last timestamp − first timestamp).</w:t>
      </w:r>
    </w:p>
    <w:p>
      <w:pPr>
        <w:pStyle w:val="FirstParagraph"/>
      </w:pPr>
      <w:r>
        <w:t xml:space="preserve">Without drift, the recorded elapsed time is up to one interval (5 minutes) shorter than the real elapsed time, because the stop falls between readings. Any difference beyond that is drift.</w:t>
      </w:r>
    </w:p>
    <w:p>
      <w:pPr>
        <w:pStyle w:val="BodyText"/>
      </w:pPr>
      <w:r>
        <w:t xml:space="preserve">For finer resolution, run the app from Python (Appendix A) with</w:t>
      </w:r>
      <w:r>
        <w:t xml:space="preserve"> </w:t>
      </w:r>
      <w:r>
        <w:rPr>
          <w:rStyle w:val="VerbatimChar"/>
        </w:rPr>
        <w:t xml:space="preserve">WAKEUP_INTERVAL_SECONDS = 60</w:t>
      </w:r>
      <w:r>
        <w:t xml:space="preserve"> </w:t>
      </w:r>
      <w:r>
        <w:t xml:space="preserve">in</w:t>
      </w:r>
      <w:r>
        <w:t xml:space="preserve"> </w:t>
      </w:r>
      <w:r>
        <w:rPr>
          <w:rStyle w:val="VerbatimChar"/>
        </w:rPr>
        <w:t xml:space="preserve">arduino.py</w:t>
      </w:r>
      <w:r>
        <w:t xml:space="preserve"> </w:t>
      </w:r>
      <w:r>
        <w:t xml:space="preserve">for the test: readings are then 1 minute apart, and storage lasts about 10 days, so keep the test under 10 days.</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25" Target="media/rId25.jpg" /><Relationship Type="http://schemas.openxmlformats.org/officeDocument/2006/relationships/image" Id="rId44" Target="media/rId44.pn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2026-10-16T18:55:57Z</dcterms:created>
  <dcterms:modified xsi:type="dcterms:W3CDTF">2026-10-16T18:55:57Z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analyzing its data</vt:lpwstr>
  </property>
</Properties>
</file>