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the state of the project at transition, all next steps in one place, and who to contact. Read this first.</w:t>
      </w:r>
    </w:p>
    <w:p>
      <w:pPr>
        <w:numPr>
          <w:ilvl w:val="0"/>
          <w:numId w:val="1001"/>
        </w:numPr>
        <w:pStyle w:val="Compact"/>
      </w:pPr>
      <w:r>
        <w:rPr>
          <w:bCs/>
          <w:b/>
        </w:rPr>
        <w:t xml:space="preserve">Design decisions (§2–§7):</w:t>
      </w:r>
      <w:r>
        <w:t xml:space="preserve"> </w:t>
      </w:r>
      <w:r>
        <w:t xml:space="preserve">what was decided, why, and which alternatives were considered.</w:t>
      </w:r>
    </w:p>
    <w:p>
      <w:pPr>
        <w:numPr>
          <w:ilvl w:val="0"/>
          <w:numId w:val="1001"/>
        </w:numPr>
        <w:pStyle w:val="Compact"/>
      </w:pPr>
      <w:r>
        <w:rPr>
          <w:bCs/>
          <w:b/>
        </w:rPr>
        <w:t xml:space="preserve">Testing and future directions (§8–§9):</w:t>
      </w:r>
      <w:r>
        <w:t xml:space="preserve"> </w:t>
      </w:r>
      <w:r>
        <w:t xml:space="preserve">what has been verified so far, and the areas to explore.</w:t>
      </w:r>
    </w:p>
    <w:p>
      <w:pPr>
        <w:numPr>
          <w:ilvl w:val="0"/>
          <w:numId w:val="1001"/>
        </w:numPr>
        <w:pStyle w:val="Compact"/>
      </w:pPr>
      <w:r>
        <w:rPr>
          <w:bCs/>
          <w:b/>
        </w:rPr>
        <w:t xml:space="preserve">Areas to explore (Appendices A–B):</w:t>
      </w:r>
      <w:r>
        <w:t xml:space="preserve"> </w:t>
      </w:r>
      <w:r>
        <w:t xml:space="preserve">longer notes on the two changes most worth making next.</w:t>
      </w:r>
    </w:p>
    <w:p>
      <w:pPr>
        <w:pStyle w:val="FirstParagraph"/>
      </w:pPr>
      <w:r>
        <w:t xml:space="preserve">Companion documents are listed in §1.3, and technical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Plan the next stage of research</w:t>
            </w:r>
          </w:p>
        </w:tc>
        <w:tc>
          <w:tcPr/>
          <w:p>
            <w:pPr>
              <w:pStyle w:val="Compact"/>
              <w:jc w:val="left"/>
            </w:pPr>
            <w:r>
              <w:rPr>
                <w:sz w:val="19"/>
              </w:rPr>
              <w:t xml:space="preserve">§1.2 (next steps), then §8, §9 and Appendices A–B</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 Firmware:</w:t>
      </w:r>
      <w:r>
        <w:t xml:space="preserve"> </w:t>
      </w:r>
      <w:r>
        <w:rPr>
          <w:rStyle w:val="VerbatimChar"/>
        </w:rPr>
        <w:t xml:space="preserve">collect_temperature/collect_temperature.ino</w:t>
      </w:r>
      <w:r>
        <w:t xml:space="preserve">.</w:t>
      </w:r>
    </w:p>
    <w:p>
      <w:pPr>
        <w:numPr>
          <w:ilvl w:val="0"/>
          <w:numId w:val="1002"/>
        </w:numPr>
        <w:pStyle w:val="Compact"/>
      </w:pPr>
      <w:r>
        <w:rPr>
          <w:bCs/>
          <w:b/>
        </w:rPr>
        <w:t xml:space="preserve">Desktop app v1.3.0.</w:t>
      </w:r>
      <w:r>
        <w:t xml:space="preserve"> </w:t>
      </w:r>
      <w:r>
        <w:rPr>
          <w:iCs/>
          <w:i/>
        </w:rPr>
        <w:t xml:space="preserve">Splint Adherence</w:t>
      </w:r>
      <w:r>
        <w:t xml:space="preserve"> </w:t>
      </w:r>
      <w:r>
        <w:t xml:space="preserve">(Dash/Flask, opens in the browser, works offline). 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 use.</w:t>
      </w:r>
      <w:r>
        <w:t xml:space="preserve"> </w:t>
      </w:r>
      <w:r>
        <w:t xml:space="preserve">Recordings of up to about 36 days have been collected and analyzed, and the analysis was hardened against what they showed (proximity drift, §5.3).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Automated application tests.</w:t>
      </w:r>
      <w:r>
        <w:t xml:space="preserve"> </w:t>
      </w:r>
      <w:r>
        <w:t xml:space="preserve">22 automated tests (wear detection, time zones, timestamp recovery, serial protocol) run on every pull request for maintaining the application.</w:t>
      </w:r>
    </w:p>
    <w:p>
      <w:pPr>
        <w:numPr>
          <w:ilvl w:val="0"/>
          <w:numId w:val="1002"/>
        </w:numPr>
        <w:pStyle w:val="Compact"/>
      </w:pPr>
      <w:r>
        <w:rPr>
          <w:bCs/>
          <w:b/>
        </w:rPr>
        <w:t xml:space="preserve">Documentation.</w:t>
      </w:r>
      <w:r>
        <w:t xml:space="preserve"> </w:t>
      </w:r>
      <w:r>
        <w:t xml:space="preserve">SOP (</w:t>
      </w:r>
      <w:r>
        <w:rPr>
          <w:rStyle w:val="VerbatimChar"/>
        </w:rPr>
        <w:t xml:space="preserve">docs/SOP_Build_and_Use</w:t>
      </w:r>
      <w:r>
        <w:t xml:space="preserve">), developer reference (</w:t>
      </w:r>
      <w:r>
        <w:rPr>
          <w:rStyle w:val="VerbatimChar"/>
        </w:rPr>
        <w:t xml:space="preserve">HANDOFF.md</w:t>
      </w:r>
      <w:r>
        <w:t xml:space="preserve">), README, and this document.</w:t>
      </w:r>
    </w:p>
    <w:bookmarkEnd w:id="21"/>
    <w:bookmarkStart w:id="22" w:name="next-steps"/>
    <w:p>
      <w:pPr>
        <w:pStyle w:val="Heading2"/>
      </w:pPr>
      <w:r>
        <w:t xml:space="preserve">1.2 Next steps</w:t>
      </w:r>
    </w:p>
    <w:p>
      <w:pPr>
        <w:pStyle w:val="FirstParagraph"/>
      </w:pPr>
      <w:r>
        <w:t xml:space="preserve">All remaining work, in recommended order. The design sections (§3–§7) explain why each item exists, and the appendices give the technical detail.</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638"/>
        <w:gridCol w:w="1638"/>
        <w:gridCol w:w="3550"/>
        <w:gridCol w:w="1092"/>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wrap-safe sleep, storage limit, start collection at Initialize</w:t>
            </w:r>
          </w:p>
        </w:tc>
        <w:tc>
          <w:tcPr/>
          <w:p>
            <w:pPr>
              <w:pStyle w:val="Compact"/>
              <w:jc w:val="left"/>
            </w:pPr>
            <w:r>
              <w:rPr>
                <w:sz w:val="19"/>
              </w:rPr>
              <w:t xml:space="preserve">Predicted from code; not bench-tested</w:t>
            </w:r>
          </w:p>
        </w:tc>
        <w:tc>
          <w:tcPr/>
          <w:p>
            <w:pPr>
              <w:pStyle w:val="Compact"/>
              <w:jc w:val="left"/>
            </w:pPr>
            <w:r>
              <w:rPr>
                <w:sz w:val="19"/>
              </w:rPr>
              <w:t xml:space="preserve">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and leave it for 5 hours; the download should stop at exactly 15 000 rows. Then fix wrap-safe sleep and the storage limit (small, low risk), then start collection at Initialize, in one firmware release. Bench-test for a full month, re-flash loggers after downloading their data, and update the SOP.</w:t>
            </w:r>
          </w:p>
        </w:tc>
        <w:tc>
          <w:tcPr/>
          <w:p>
            <w:pPr>
              <w:pStyle w:val="Compact"/>
              <w:jc w:val="left"/>
            </w:pPr>
            <w:r>
              <w:rPr>
                <w:sz w:val="19"/>
              </w:rPr>
              <w:t xml:space="preserve">Appendix A; §4.4</w:t>
            </w:r>
          </w:p>
        </w:tc>
      </w:tr>
      <w:tr>
        <w:tc>
          <w:tcPr/>
          <w:p>
            <w:pPr>
              <w:pStyle w:val="Compact"/>
              <w:jc w:val="left"/>
            </w:pPr>
            <w:r>
              <w:rPr>
                <w:sz w:val="19"/>
              </w:rPr>
              <w:t xml:space="preserve">2. Battery life</w:t>
            </w:r>
          </w:p>
        </w:tc>
        <w:tc>
          <w:tcPr/>
          <w:p>
            <w:pPr>
              <w:pStyle w:val="Compact"/>
              <w:jc w:val="left"/>
            </w:pPr>
            <w:r>
              <w:rPr>
                <w:sz w:val="19"/>
              </w:rPr>
              <w:t xml:space="preserve">Not measured; resting current below ~750 µA</w:t>
            </w:r>
          </w:p>
        </w:tc>
        <w:tc>
          <w:tcPr/>
          <w:p>
            <w:pPr>
              <w:pStyle w:val="Compact"/>
              <w:jc w:val="left"/>
            </w:pPr>
            <w:r>
              <w:rPr>
                <w:sz w:val="19"/>
              </w:rPr>
              <w:t xml:space="preserve">One logger on the bench for a full month or until the battery dies, which is the duration of expected battery life.</w:t>
            </w:r>
          </w:p>
        </w:tc>
        <w:tc>
          <w:tcPr/>
          <w:p>
            <w:pPr>
              <w:pStyle w:val="Compact"/>
              <w:jc w:val="left"/>
            </w:pPr>
            <w:r>
              <w:rPr>
                <w:sz w:val="19"/>
              </w:rPr>
              <w:t xml:space="preserve">§4.3</w:t>
            </w:r>
          </w:p>
        </w:tc>
      </w:tr>
      <w:tr>
        <w:tc>
          <w:tcPr/>
          <w:p>
            <w:pPr>
              <w:pStyle w:val="Compact"/>
              <w:jc w:val="left"/>
            </w:pPr>
            <w:r>
              <w:rPr>
                <w:sz w:val="19"/>
              </w:rPr>
              <w:t xml:space="preserve">3. Wear-detection accuracy</w:t>
            </w:r>
          </w:p>
        </w:tc>
        <w:tc>
          <w:tcPr/>
          <w:p>
            <w:pPr>
              <w:pStyle w:val="Compact"/>
              <w:jc w:val="left"/>
            </w:pPr>
            <w:r>
              <w:rPr>
                <w:sz w:val="19"/>
              </w:rPr>
              <w:t xml:space="preserve">Not validated against ground truth</w:t>
            </w:r>
          </w:p>
        </w:tc>
        <w:tc>
          <w:tcPr/>
          <w:p>
            <w:pPr>
              <w:pStyle w:val="Compact"/>
              <w:jc w:val="left"/>
            </w:pPr>
            <w:r>
              <w:rPr>
                <w:sz w:val="19"/>
              </w:rPr>
              <w:t xml:space="preserve">Collect ground truth on a few deployments (wear diary or reference sensor), check overnight wear especially, and re-tune the thresholds. Add each labelled recording to</w:t>
            </w:r>
            <w:r>
              <w:rPr>
                <w:sz w:val="19"/>
              </w:rPr>
              <w:t xml:space="preserve"> </w:t>
            </w:r>
            <w:r>
              <w:rPr>
                <w:rStyle w:val="VerbatimChar"/>
                <w:sz w:val="19"/>
              </w:rPr>
              <w:t xml:space="preserve">tests/</w:t>
            </w:r>
            <w:r>
              <w:rPr>
                <w:sz w:val="19"/>
              </w:rPr>
              <w:t xml:space="preserve"> </w:t>
            </w:r>
            <w:r>
              <w:rPr>
                <w:sz w:val="19"/>
              </w:rPr>
              <w:t xml:space="preserve">as a regression case and record the new values in</w:t>
            </w:r>
            <w:r>
              <w:rPr>
                <w:sz w:val="19"/>
              </w:rPr>
              <w:t xml:space="preserve"> </w:t>
            </w:r>
            <w:r>
              <w:rPr>
                <w:rStyle w:val="VerbatimChar"/>
                <w:sz w:val="19"/>
              </w:rPr>
              <w:t xml:space="preserve">HANDOFF.md</w:t>
            </w:r>
            <w:r>
              <w:rPr>
                <w:sz w:val="19"/>
              </w:rPr>
              <w:t xml:space="preserve"> </w:t>
            </w:r>
            <w:r>
              <w:rPr>
                <w:sz w:val="19"/>
              </w:rPr>
              <w:t xml:space="preserve">§4.</w:t>
            </w:r>
          </w:p>
        </w:tc>
        <w:tc>
          <w:tcPr/>
          <w:p>
            <w:pPr>
              <w:pStyle w:val="Compact"/>
              <w:jc w:val="left"/>
            </w:pPr>
            <w:r>
              <w:rPr>
                <w:sz w:val="19"/>
              </w:rPr>
              <w:t xml:space="preserve">Appendix B; §5.1, §5.4</w:t>
            </w:r>
          </w:p>
        </w:tc>
      </w:tr>
      <w:tr>
        <w:tc>
          <w:tcPr/>
          <w:p>
            <w:pPr>
              <w:pStyle w:val="Compact"/>
              <w:jc w:val="left"/>
            </w:pPr>
            <w:r>
              <w:rPr>
                <w:sz w:val="19"/>
              </w:rPr>
              <w:t xml:space="preserve">4. Clock drift</w:t>
            </w:r>
          </w:p>
        </w:tc>
        <w:tc>
          <w:tcPr/>
          <w:p>
            <w:pPr>
              <w:pStyle w:val="Compact"/>
              <w:jc w:val="left"/>
            </w:pPr>
            <w:r>
              <w:rPr>
                <w:sz w:val="19"/>
              </w:rPr>
              <w:t xml:space="preserve">Not measured; expected negligible</w:t>
            </w:r>
          </w:p>
        </w:tc>
        <w:tc>
          <w:tcPr/>
          <w:p>
            <w:pPr>
              <w:pStyle w:val="Compact"/>
              <w:jc w:val="left"/>
            </w:pPr>
            <w:r>
              <w:rPr>
                <w:sz w:val="19"/>
              </w:rPr>
              <w:t xml:space="preserve">At the end of each deployment, note the real time of the power-cycle and compare it with the last timestamp in the file. They should agree within one interval (5 minutes); a larger gap shows drift or a late power-on.</w:t>
            </w:r>
          </w:p>
        </w:tc>
        <w:tc>
          <w:tcPr/>
          <w:p>
            <w:pPr>
              <w:pStyle w:val="Compact"/>
              <w:jc w:val="left"/>
            </w:pPr>
            <w:r>
              <w:rPr>
                <w:sz w:val="19"/>
              </w:rPr>
              <w:t xml:space="preserve">§4.4</w:t>
            </w:r>
          </w:p>
        </w:tc>
      </w:tr>
      <w:tr>
        <w:tc>
          <w:tcPr/>
          <w:p>
            <w:pPr>
              <w:pStyle w:val="Compact"/>
              <w:jc w:val="left"/>
            </w:pPr>
            <w:r>
              <w:rPr>
                <w:sz w:val="19"/>
              </w:rPr>
              <w:t xml:space="preserve">5. Battery monitoring</w:t>
            </w:r>
          </w:p>
        </w:tc>
        <w:tc>
          <w:tcPr/>
          <w:p>
            <w:pPr>
              <w:pStyle w:val="Compact"/>
              <w:jc w:val="left"/>
            </w:pPr>
            <w:r>
              <w:rPr>
                <w:sz w:val="19"/>
              </w:rPr>
              <w:t xml:space="preserve">Not started</w:t>
            </w:r>
          </w:p>
        </w:tc>
        <w:tc>
          <w:tcPr/>
          <w:p>
            <w:pPr>
              <w:pStyle w:val="Compact"/>
              <w:jc w:val="left"/>
            </w:pPr>
            <w:r>
              <w:rPr>
                <w:sz w:val="19"/>
              </w:rPr>
              <w:t xml:space="preserve">Log the battery voltage with each reading, so a dying battery shows in the data.</w:t>
            </w:r>
          </w:p>
        </w:tc>
        <w:tc>
          <w:tcPr/>
          <w:p>
            <w:pPr>
              <w:pStyle w:val="Compact"/>
              <w:jc w:val="left"/>
            </w:pPr>
            <w:r>
              <w:rPr>
                <w:sz w:val="19"/>
              </w:rPr>
              <w:t xml:space="preserve">–</w:t>
            </w:r>
          </w:p>
        </w:tc>
      </w:tr>
      <w:tr>
        <w:tc>
          <w:tcPr/>
          <w:p>
            <w:pPr>
              <w:pStyle w:val="Compact"/>
              <w:jc w:val="left"/>
            </w:pPr>
            <w:r>
              <w:rPr>
                <w:sz w:val="19"/>
              </w:rPr>
              <w:t xml:space="preserve">6. Mode by USB presence (optional)</w:t>
            </w:r>
          </w:p>
        </w:tc>
        <w:tc>
          <w:tcPr/>
          <w:p>
            <w:pPr>
              <w:pStyle w:val="Compact"/>
              <w:jc w:val="left"/>
            </w:pPr>
            <w:r>
              <w:rPr>
                <w:sz w:val="19"/>
              </w:rPr>
              <w:t xml:space="preserve">Not started</w:t>
            </w:r>
          </w:p>
        </w:tc>
        <w:tc>
          <w:tcPr/>
          <w:p>
            <w:pPr>
              <w:pStyle w:val="Compact"/>
              <w:jc w:val="left"/>
            </w:pPr>
            <w:r>
              <w:rPr>
                <w:sz w:val="19"/>
              </w:rPr>
              <w:t xml:space="preserve">Choose idle or collection at power-up by whether USB is connected, so a reset during a deployment costs only a gap.</w:t>
            </w:r>
          </w:p>
        </w:tc>
        <w:tc>
          <w:tcPr/>
          <w:p>
            <w:pPr>
              <w:pStyle w:val="Compact"/>
              <w:jc w:val="left"/>
            </w:pPr>
            <w:r>
              <w:rPr>
                <w:sz w:val="19"/>
              </w:rPr>
              <w:t xml:space="preserve">Appendix A.2; §4.1</w:t>
            </w:r>
          </w:p>
        </w:tc>
      </w:tr>
    </w:tbl>
    <w:bookmarkEnd w:id="22"/>
    <w:bookmarkStart w:id="23" w:name="documents-files-reference"/>
    <w:p>
      <w:pPr>
        <w:pStyle w:val="Heading2"/>
      </w:pPr>
      <w:r>
        <w:t xml:space="preserve">1.3 Documents &amp; files reference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file roles, flash layout, algorithm parameters table, vendored assets,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File / folder</w:t>
            </w:r>
          </w:p>
        </w:tc>
        <w:tc>
          <w:tcPr>
            <w:shd w:val="clear" w:color="auto" w:fill="DCE6F1"/>
          </w:tcPr>
          <w:p>
            <w:pPr>
              <w:pStyle w:val="Compact"/>
              <w:jc w:val="left"/>
            </w:pPr>
            <w:r>
              <w:rPr>
                <w:b/>
                <w:sz w:val="19"/>
              </w:rPr>
              <w:t xml:space="preserve">Contents</w:t>
            </w:r>
          </w:p>
        </w:tc>
      </w:tr>
      <w:tr>
        <w:tc>
          <w:tcPr/>
          <w:p>
            <w:pPr>
              <w:pStyle w:val="Compact"/>
              <w:jc w:val="left"/>
            </w:pPr>
            <w:r>
              <w:rPr>
                <w:rStyle w:val="VerbatimChar"/>
                <w:sz w:val="19"/>
              </w:rPr>
              <w:t xml:space="preserve">collect_temperature/collect_temperature.ino</w:t>
            </w:r>
          </w:p>
        </w:tc>
        <w:tc>
          <w:tcPr/>
          <w:p>
            <w:pPr>
              <w:pStyle w:val="Compact"/>
              <w:jc w:val="left"/>
            </w:pPr>
            <w:r>
              <w:rPr>
                <w:sz w:val="19"/>
              </w:rPr>
              <w:t xml:space="preserve">Logger firmware</w:t>
            </w:r>
          </w:p>
        </w:tc>
      </w:tr>
      <w:tr>
        <w:tc>
          <w:tcPr/>
          <w:p>
            <w:pPr>
              <w:pStyle w:val="Compact"/>
              <w:jc w:val="left"/>
            </w:pPr>
            <w:r>
              <w:rPr>
                <w:rStyle w:val="VerbatimChar"/>
                <w:sz w:val="19"/>
              </w:rPr>
              <w:t xml:space="preserve">app.py</w:t>
            </w:r>
            <w:r>
              <w:rPr>
                <w:sz w:val="19"/>
              </w:rPr>
              <w:t xml:space="preserve">,</w:t>
            </w:r>
            <w:r>
              <w:rPr>
                <w:sz w:val="19"/>
              </w:rPr>
              <w:t xml:space="preserve"> </w:t>
            </w:r>
            <w:r>
              <w:rPr>
                <w:rStyle w:val="VerbatimChar"/>
                <w:sz w:val="19"/>
              </w:rPr>
              <w:t xml:space="preserve">app_instance.py</w:t>
            </w:r>
          </w:p>
        </w:tc>
        <w:tc>
          <w:tcPr/>
          <w:p>
            <w:pPr>
              <w:pStyle w:val="Compact"/>
              <w:jc w:val="left"/>
            </w:pPr>
            <w:r>
              <w:rPr>
                <w:sz w:val="19"/>
              </w:rPr>
              <w:t xml:space="preserve">App entry point (routing, heartbeat shutdown), shared Dash/Flask/SocketIO objects</w:t>
            </w:r>
          </w:p>
        </w:tc>
      </w:tr>
      <w:tr>
        <w:tc>
          <w:tcPr/>
          <w:p>
            <w:pPr>
              <w:pStyle w:val="Compact"/>
              <w:jc w:val="left"/>
            </w:pPr>
            <w:r>
              <w:rPr>
                <w:rStyle w:val="VerbatimChar"/>
                <w:sz w:val="19"/>
              </w:rPr>
              <w:t xml:space="preserve">arduino.py</w:t>
            </w:r>
          </w:p>
        </w:tc>
        <w:tc>
          <w:tcPr/>
          <w:p>
            <w:pPr>
              <w:pStyle w:val="Compact"/>
              <w:jc w:val="left"/>
            </w:pPr>
            <w:r>
              <w:rPr>
                <w:rStyle w:val="VerbatimChar"/>
                <w:sz w:val="19"/>
              </w:rPr>
              <w:t xml:space="preserve">ArduinoClient</w:t>
            </w:r>
            <w:r>
              <w:rPr>
                <w:sz w:val="19"/>
              </w:rPr>
              <w:t xml:space="preserve">: port search, initialize, download; participant-ID rules</w:t>
            </w:r>
          </w:p>
        </w:tc>
      </w:tr>
      <w:tr>
        <w:tc>
          <w:tcPr/>
          <w:p>
            <w:pPr>
              <w:pStyle w:val="Compact"/>
              <w:jc w:val="left"/>
            </w:pPr>
            <w:r>
              <w:rPr>
                <w:rStyle w:val="VerbatimChar"/>
                <w:sz w:val="19"/>
              </w:rPr>
              <w:t xml:space="preserve">pages/index_page.py</w:t>
            </w:r>
          </w:p>
        </w:tc>
        <w:tc>
          <w:tcPr/>
          <w:p>
            <w:pPr>
              <w:pStyle w:val="Compact"/>
              <w:jc w:val="left"/>
            </w:pPr>
            <w:r>
              <w:rPr>
                <w:sz w:val="19"/>
              </w:rPr>
              <w:t xml:space="preserve">Home page: Initialize and Download flows</w:t>
            </w:r>
          </w:p>
        </w:tc>
      </w:tr>
      <w:tr>
        <w:tc>
          <w:tcPr/>
          <w:p>
            <w:pPr>
              <w:pStyle w:val="Compact"/>
              <w:jc w:val="left"/>
            </w:pPr>
            <w:r>
              <w:rPr>
                <w:rStyle w:val="VerbatimChar"/>
                <w:sz w:val="19"/>
              </w:rPr>
              <w:t xml:space="preserve">pages/data_analysis_page.py</w:t>
            </w:r>
          </w:p>
        </w:tc>
        <w:tc>
          <w:tcPr/>
          <w:p>
            <w:pPr>
              <w:pStyle w:val="Compact"/>
              <w:jc w:val="left"/>
            </w:pPr>
            <w:r>
              <w:rPr>
                <w:sz w:val="19"/>
              </w:rPr>
              <w:t xml:space="preserve">Data Analysis page: plots, events table, summaries</w:t>
            </w:r>
          </w:p>
        </w:tc>
      </w:tr>
      <w:tr>
        <w:tc>
          <w:tcPr/>
          <w:p>
            <w:pPr>
              <w:pStyle w:val="Compact"/>
              <w:jc w:val="left"/>
            </w:pPr>
            <w:r>
              <w:rPr>
                <w:rStyle w:val="VerbatimChar"/>
                <w:sz w:val="19"/>
              </w:rPr>
              <w:t xml:space="preserve">pages/analysis_helper.py</w:t>
            </w:r>
          </w:p>
        </w:tc>
        <w:tc>
          <w:tcPr/>
          <w:p>
            <w:pPr>
              <w:pStyle w:val="Compact"/>
              <w:jc w:val="left"/>
            </w:pPr>
            <w:r>
              <w:rPr>
                <w:sz w:val="19"/>
              </w:rPr>
              <w:t xml:space="preserve">Parsing, time zones, wear detection, timestamp recovery</w:t>
            </w:r>
          </w:p>
        </w:tc>
      </w:tr>
      <w:tr>
        <w:tc>
          <w:tcPr/>
          <w:p>
            <w:pPr>
              <w:pStyle w:val="Compact"/>
              <w:jc w:val="left"/>
            </w:pPr>
            <w:r>
              <w:rPr>
                <w:rStyle w:val="VerbatimChar"/>
                <w:sz w:val="19"/>
              </w:rPr>
              <w:t xml:space="preserve">timezone_config.py</w:t>
            </w:r>
          </w:p>
        </w:tc>
        <w:tc>
          <w:tcPr/>
          <w:p>
            <w:pPr>
              <w:pStyle w:val="Compact"/>
              <w:jc w:val="left"/>
            </w:pPr>
            <w:r>
              <w:rPr>
                <w:sz w:val="19"/>
              </w:rPr>
              <w:t xml:space="preserve">Display time zone (America/New_York)</w:t>
            </w:r>
          </w:p>
        </w:tc>
      </w:tr>
      <w:tr>
        <w:tc>
          <w:tcPr/>
          <w:p>
            <w:pPr>
              <w:pStyle w:val="Compact"/>
              <w:jc w:val="left"/>
            </w:pPr>
            <w:r>
              <w:rPr>
                <w:rStyle w:val="VerbatimChar"/>
                <w:sz w:val="19"/>
              </w:rPr>
              <w:t xml:space="preserve">tests/</w:t>
            </w:r>
          </w:p>
        </w:tc>
        <w:tc>
          <w:tcPr/>
          <w:p>
            <w:pPr>
              <w:pStyle w:val="Compact"/>
              <w:jc w:val="left"/>
            </w:pPr>
            <w:r>
              <w:rPr>
                <w:sz w:val="19"/>
              </w:rPr>
              <w:t xml:space="preserve">pytest suite (no hardware)</w:t>
            </w:r>
          </w:p>
        </w:tc>
      </w:tr>
      <w:tr>
        <w:tc>
          <w:tcPr/>
          <w:p>
            <w:pPr>
              <w:pStyle w:val="Compact"/>
              <w:jc w:val="left"/>
            </w:pPr>
            <w:r>
              <w:rPr>
                <w:rStyle w:val="VerbatimChar"/>
                <w:sz w:val="19"/>
              </w:rPr>
              <w:t xml:space="preserve">setup.py</w:t>
            </w:r>
          </w:p>
        </w:tc>
        <w:tc>
          <w:tcPr/>
          <w:p>
            <w:pPr>
              <w:pStyle w:val="Compact"/>
              <w:jc w:val="left"/>
            </w:pPr>
            <w:r>
              <w:rPr>
                <w:sz w:val="19"/>
              </w:rPr>
              <w:t xml:space="preserve">App version and packaging settings used by the release workflow</w:t>
            </w:r>
          </w:p>
        </w:tc>
      </w:tr>
      <w:tr>
        <w:tc>
          <w:tcPr/>
          <w:p>
            <w:pPr>
              <w:pStyle w:val="Compact"/>
              <w:jc w:val="left"/>
            </w:pPr>
            <w:r>
              <w:rPr>
                <w:rStyle w:val="VerbatimChar"/>
                <w:sz w:val="19"/>
              </w:rPr>
              <w:t xml:space="preserve">.github/workflows/tests.yml</w:t>
            </w:r>
            <w:r>
              <w:rPr>
                <w:sz w:val="19"/>
              </w:rPr>
              <w:t xml:space="preserve">,</w:t>
            </w:r>
            <w:r>
              <w:rPr>
                <w:sz w:val="19"/>
              </w:rPr>
              <w:t xml:space="preserve"> </w:t>
            </w:r>
            <w:r>
              <w:rPr>
                <w:rStyle w:val="VerbatimChar"/>
                <w:sz w:val="19"/>
              </w:rPr>
              <w:t xml:space="preserve">build-release.yml</w:t>
            </w:r>
          </w:p>
        </w:tc>
        <w:tc>
          <w:tcPr/>
          <w:p>
            <w:pPr>
              <w:pStyle w:val="Compact"/>
              <w:jc w:val="left"/>
            </w:pPr>
            <w:r>
              <w:rPr>
                <w:sz w:val="19"/>
              </w:rPr>
              <w:t xml:space="preserve">Tests on every pull request; Windows/macOS builds on a</w:t>
            </w:r>
            <w:r>
              <w:rPr>
                <w:sz w:val="19"/>
              </w:rPr>
              <w:t xml:space="preserve"> </w:t>
            </w:r>
            <w:r>
              <w:rPr>
                <w:rStyle w:val="VerbatimChar"/>
                <w:sz w:val="19"/>
              </w:rPr>
              <w:t xml:space="preserve">v*</w:t>
            </w:r>
            <w:r>
              <w:rPr>
                <w:sz w:val="19"/>
              </w:rPr>
              <w:t xml:space="preserve"> </w:t>
            </w:r>
            <w:r>
              <w:rPr>
                <w:sz w:val="19"/>
              </w:rPr>
              <w:t xml:space="preserve">tag</w:t>
            </w:r>
          </w:p>
        </w:tc>
      </w:tr>
      <w:tr>
        <w:tc>
          <w:tcPr/>
          <w:p>
            <w:pPr>
              <w:pStyle w:val="Compact"/>
              <w:jc w:val="left"/>
            </w:pPr>
            <w:r>
              <w:rPr>
                <w:rStyle w:val="VerbatimChar"/>
                <w:sz w:val="19"/>
              </w:rPr>
              <w:t xml:space="preserve">docs/</w:t>
            </w:r>
          </w:p>
        </w:tc>
        <w:tc>
          <w:tcPr/>
          <w:p>
            <w:pPr>
              <w:pStyle w:val="Compact"/>
              <w:jc w:val="left"/>
            </w:pPr>
            <w:r>
              <w:rPr>
                <w:sz w:val="19"/>
              </w:rPr>
              <w:t xml:space="preserve">SOP, this document, figures (</w:t>
            </w:r>
            <w:r>
              <w:rPr>
                <w:rStyle w:val="VerbatimChar"/>
                <w:sz w:val="19"/>
              </w:rPr>
              <w:t xml:space="preserve">docs/images/</w:t>
            </w:r>
            <w:r>
              <w:rPr>
                <w:sz w:val="19"/>
              </w:rPr>
              <w:t xml:space="preserve">), and the build script</w:t>
            </w:r>
          </w:p>
        </w:tc>
      </w:tr>
      <w:tr>
        <w:tc>
          <w:tcPr/>
          <w:p>
            <w:pPr>
              <w:pStyle w:val="Compact"/>
              <w:jc w:val="left"/>
            </w:pPr>
            <w:r>
              <w:rPr>
                <w:rStyle w:val="VerbatimChar"/>
                <w:sz w:val="19"/>
              </w:rPr>
              <w:t xml:space="preserve">docs/build_docs.sh</w:t>
            </w:r>
          </w:p>
        </w:tc>
        <w:tc>
          <w:tcPr/>
          <w:p>
            <w:pPr>
              <w:pStyle w:val="Compact"/>
              <w:jc w:val="left"/>
            </w:pPr>
            <w:r>
              <w:rPr>
                <w:sz w:val="19"/>
              </w:rPr>
              <w:t xml:space="preserve">Regenerates both</w:t>
            </w:r>
            <w:r>
              <w:rPr>
                <w:sz w:val="19"/>
              </w:rPr>
              <w:t xml:space="preserve"> </w:t>
            </w:r>
            <w:r>
              <w:rPr>
                <w:rStyle w:val="VerbatimChar"/>
                <w:sz w:val="19"/>
              </w:rPr>
              <w:t xml:space="preserve">.docx</w:t>
            </w:r>
            <w:r>
              <w:rPr>
                <w:sz w:val="19"/>
              </w:rPr>
              <w:t xml:space="preserve"> </w:t>
            </w:r>
            <w:r>
              <w:rPr>
                <w:sz w:val="19"/>
              </w:rPr>
              <w:t xml:space="preserve">files from their Markdown</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proximity/light/gesture sensor; only proximity is used. Reads 0–255,</w:t>
            </w:r>
            <w:r>
              <w:rPr>
                <w:sz w:val="19"/>
              </w:rPr>
              <w:t xml:space="preserve"> </w:t>
            </w:r>
            <w:r>
              <w:rPr>
                <w:bCs/>
                <w:b/>
                <w:sz w:val="19"/>
              </w:rPr>
              <w:t xml:space="preserve">low = something close</w:t>
            </w:r>
            <w:r>
              <w:rPr>
                <w:sz w:val="19"/>
              </w:rPr>
              <w:t xml:space="preserve"> </w:t>
            </w:r>
            <w:r>
              <w:rPr>
                <w:sz w:val="19"/>
              </w:rPr>
              <w:t xml:space="preserve">(splint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Logging / idle mode</w:t>
            </w:r>
          </w:p>
        </w:tc>
        <w:tc>
          <w:tcPr/>
          <w:p>
            <w:pPr>
              <w:pStyle w:val="Compact"/>
              <w:jc w:val="left"/>
            </w:pPr>
            <w:r>
              <w:rPr>
                <w:sz w:val="19"/>
              </w:rPr>
              <w:t xml:space="preserve">Recording with USB off / waiting for the app with USB on. Toggled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 The app sends one-character commands:</w:t>
            </w:r>
            <w:r>
              <w:rPr>
                <w:sz w:val="19"/>
              </w:rPr>
              <w:t xml:space="preserve"> </w:t>
            </w:r>
            <w:r>
              <w:rPr>
                <w:rStyle w:val="VerbatimChar"/>
                <w:sz w:val="19"/>
              </w:rPr>
              <w:t xml:space="preserve">?</w:t>
            </w:r>
            <w:r>
              <w:rPr>
                <w:sz w:val="19"/>
              </w:rPr>
              <w:t xml:space="preserve"> </w:t>
            </w:r>
            <w:r>
              <w:rPr>
                <w:sz w:val="19"/>
              </w:rPr>
              <w:t xml:space="preserve">handshake,</w:t>
            </w:r>
            <w:r>
              <w:rPr>
                <w:sz w:val="19"/>
              </w:rPr>
              <w:t xml:space="preserve"> </w:t>
            </w:r>
            <w:r>
              <w:rPr>
                <w:rStyle w:val="VerbatimChar"/>
                <w:sz w:val="19"/>
              </w:rPr>
              <w:t xml:space="preserve">!</w:t>
            </w:r>
            <w:r>
              <w:rPr>
                <w:sz w:val="19"/>
              </w:rPr>
              <w:t xml:space="preserve"> </w:t>
            </w:r>
            <w:r>
              <w:rPr>
                <w:sz w:val="19"/>
              </w:rPr>
              <w:t xml:space="preserve">status,</w:t>
            </w:r>
            <w:r>
              <w:rPr>
                <w:sz w:val="19"/>
              </w:rPr>
              <w:t xml:space="preserve"> </w:t>
            </w:r>
            <w:r>
              <w:rPr>
                <w:rStyle w:val="VerbatimChar"/>
                <w:sz w:val="19"/>
              </w:rPr>
              <w:t xml:space="preserve">i</w:t>
            </w:r>
            <w:r>
              <w:rPr>
                <w:sz w:val="19"/>
              </w:rPr>
              <w:t xml:space="preserve"> </w:t>
            </w:r>
            <w:r>
              <w:rPr>
                <w:sz w:val="19"/>
              </w:rPr>
              <w:t xml:space="preserve">initialize,</w:t>
            </w:r>
            <w:r>
              <w:rPr>
                <w:sz w:val="19"/>
              </w:rPr>
              <w:t xml:space="preserve"> </w:t>
            </w:r>
            <w:r>
              <w:rPr>
                <w:rStyle w:val="VerbatimChar"/>
                <w:sz w:val="19"/>
              </w:rPr>
              <w:t xml:space="preserve">r</w:t>
            </w:r>
            <w:r>
              <w:rPr>
                <w:sz w:val="19"/>
              </w:rPr>
              <w:t xml:space="preserve"> </w:t>
            </w:r>
            <w:r>
              <w:rPr>
                <w:sz w:val="19"/>
              </w:rPr>
              <w:t xml:space="preserve">read data</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Onset / offset</w:t>
            </w:r>
          </w:p>
        </w:tc>
        <w:tc>
          <w:tcPr/>
          <w:p>
            <w:pPr>
              <w:pStyle w:val="Compact"/>
              <w:jc w:val="left"/>
            </w:pPr>
            <w:r>
              <w:rPr>
                <w:sz w:val="19"/>
              </w:rPr>
              <w:t xml:space="preserve">The start / end of a detected wear event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collecting; a collecting logger becomes idle (Figure 1).</w:t>
      </w:r>
    </w:p>
    <w:p>
      <w:pPr>
        <w:numPr>
          <w:ilvl w:val="0"/>
          <w:numId w:val="1006"/>
        </w:numPr>
        <w:pStyle w:val="Compact"/>
      </w:pPr>
      <w:r>
        <w:rPr>
          <w:bCs/>
          <w:b/>
        </w:rPr>
        <w:t xml:space="preserve">Why:</w:t>
      </w:r>
      <w:r>
        <w:t xml:space="preserve"> </w:t>
      </w:r>
      <w:r>
        <w:t xml:space="preserve">During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while collecting; power-cycle it first. Any reset or power loss during collection also counts as a power-up, so the recording ends there: the data so far is kept, but nothing more is recorded. An alternative is §1.2 item 6.</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numPr>
          <w:ilvl w:val="0"/>
          <w:numId w:val="1009"/>
        </w:numPr>
        <w:pStyle w:val="Compact"/>
      </w:pPr>
      <w:r>
        <w:rPr>
          <w:bCs/>
          <w:b/>
        </w:rPr>
        <w:t xml:space="preserve">Design Decision:</w:t>
      </w:r>
      <w:r>
        <w:t xml:space="preserve"> </w:t>
      </w:r>
      <w:r>
        <w:t xml:space="preserve">One reading every 300 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 Figure 2 shows how one reading is stored and downloaded.</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4).</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Appendix B.2; validation is §1.2 item 3.</w:t>
      </w:r>
    </w:p>
    <w:bookmarkEnd w:id="43"/>
    <w:bookmarkStart w:id="44" w:name="proximity-as-a-gate"/>
    <w:p>
      <w:pPr>
        <w:pStyle w:val="Heading2"/>
      </w:pPr>
      <w:r>
        <w:t xml:space="preserve">5.2 Proximity as a gate</w:t>
      </w:r>
    </w:p>
    <w:p>
      <w:pPr>
        <w:numPr>
          <w:ilvl w:val="0"/>
          <w:numId w:val="1013"/>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3"/>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4"/>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4"/>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Appendix B describes further on how.</w:t>
      </w:r>
    </w:p>
    <w:bookmarkEnd w:id="46"/>
    <w:bookmarkEnd w:id="47"/>
    <w:bookmarkStart w:id="48" w:name="time-handling"/>
    <w:p>
      <w:pPr>
        <w:pStyle w:val="Heading1"/>
      </w:pPr>
      <w:r>
        <w:t xml:space="preserve">6. Time handling</w:t>
      </w:r>
    </w:p>
    <w:p>
      <w:pPr>
        <w:numPr>
          <w:ilvl w:val="0"/>
          <w:numId w:val="1015"/>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5"/>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5"/>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5"/>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49" w:name="desktop-application"/>
    <w:p>
      <w:pPr>
        <w:pStyle w:val="Heading1"/>
      </w:pPr>
      <w:r>
        <w:t xml:space="preserve">7. Desktop application</w:t>
      </w:r>
    </w:p>
    <w:p>
      <w:pPr>
        <w:numPr>
          <w:ilvl w:val="0"/>
          <w:numId w:val="1016"/>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6"/>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6"/>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6"/>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6"/>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End w:id="49"/>
    <w:bookmarkStart w:id="50" w:name="testing-and-validation-to-date"/>
    <w:p>
      <w:pPr>
        <w:pStyle w:val="Heading1"/>
      </w:pPr>
      <w:r>
        <w:t xml:space="preserve">8. Testing and validation to date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Status</w:t>
            </w:r>
          </w:p>
        </w:tc>
      </w:tr>
      <w:tr>
        <w:tc>
          <w:tcPr/>
          <w:p>
            <w:pPr>
              <w:pStyle w:val="Compact"/>
              <w:jc w:val="left"/>
            </w:pPr>
            <w:r>
              <w:rPr>
                <w:sz w:val="19"/>
              </w:rPr>
              <w:t xml:space="preserve">Logging over a deployment</w:t>
            </w:r>
          </w:p>
        </w:tc>
        <w:tc>
          <w:tcPr/>
          <w:p>
            <w:pPr>
              <w:pStyle w:val="Compact"/>
              <w:jc w:val="left"/>
            </w:pPr>
            <w:r>
              <w:rPr>
                <w:sz w:val="19"/>
              </w:rPr>
              <w:t xml:space="preserve">Recordings up to ~36 days collected and analyzed</w:t>
            </w:r>
          </w:p>
        </w:tc>
      </w:tr>
      <w:tr>
        <w:tc>
          <w:tcPr/>
          <w:p>
            <w:pPr>
              <w:pStyle w:val="Compact"/>
              <w:jc w:val="left"/>
            </w:pPr>
            <w:r>
              <w:rPr>
                <w:sz w:val="19"/>
              </w:rPr>
              <w:t xml:space="preserve">Resting current</w:t>
            </w:r>
          </w:p>
        </w:tc>
        <w:tc>
          <w:tcPr/>
          <w:p>
            <w:pPr>
              <w:pStyle w:val="Compact"/>
              <w:jc w:val="left"/>
            </w:pPr>
            <w:r>
              <w:rPr>
                <w:sz w:val="19"/>
              </w:rPr>
              <w:t xml:space="preserve">Below ~750 µA on the bench</w:t>
            </w:r>
          </w:p>
        </w:tc>
      </w:tr>
      <w:tr>
        <w:tc>
          <w:tcPr/>
          <w:p>
            <w:pPr>
              <w:pStyle w:val="Compact"/>
              <w:jc w:val="left"/>
            </w:pPr>
            <w:r>
              <w:rPr>
                <w:sz w:val="19"/>
              </w:rPr>
              <w:t xml:space="preserve">Proximity drift</w:t>
            </w:r>
          </w:p>
        </w:tc>
        <w:tc>
          <w:tcPr/>
          <w:p>
            <w:pPr>
              <w:pStyle w:val="Compact"/>
              <w:jc w:val="left"/>
            </w:pPr>
            <w:r>
              <w:rPr>
                <w:sz w:val="19"/>
              </w:rPr>
              <w:t xml:space="preserve">Seen on a 35-day recording; handled in analysis (§5.3), covered by a test</w:t>
            </w:r>
          </w:p>
        </w:tc>
      </w:tr>
      <w:tr>
        <w:tc>
          <w:tcPr/>
          <w:p>
            <w:pPr>
              <w:pStyle w:val="Compact"/>
              <w:jc w:val="left"/>
            </w:pPr>
            <w:r>
              <w:rPr>
                <w:sz w:val="19"/>
              </w:rPr>
              <w:t xml:space="preserve">Analysis code</w:t>
            </w:r>
          </w:p>
        </w:tc>
        <w:tc>
          <w:tcPr/>
          <w:p>
            <w:pPr>
              <w:pStyle w:val="Compact"/>
              <w:jc w:val="left"/>
            </w:pPr>
            <w:r>
              <w:rPr>
                <w:sz w:val="19"/>
              </w:rPr>
              <w:t xml:space="preserve">22 automated tests (detection, drift invariance, DST, legacy files, recovery, serial parsing)</w:t>
            </w:r>
          </w:p>
        </w:tc>
      </w:tr>
    </w:tbl>
    <w:bookmarkEnd w:id="50"/>
    <w:bookmarkStart w:id="51" w:name="directions-to-explore"/>
    <w:p>
      <w:pPr>
        <w:pStyle w:val="Heading1"/>
      </w:pPr>
      <w:r>
        <w:t xml:space="preserve">9.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1"/>
    <w:bookmarkStart w:id="55" w:name="appendix-a-firmware-robustness"/>
    <w:p>
      <w:pPr>
        <w:pStyle w:val="Heading1"/>
      </w:pPr>
      <w:r>
        <w:t xml:space="preserve">Appendix A — Firmware robustness</w:t>
      </w:r>
    </w:p>
    <w:p>
      <w:pPr>
        <w:pStyle w:val="FirstParagraph"/>
      </w:pPr>
      <w:r>
        <w:rPr>
          <w:bCs/>
          <w:b/>
        </w:rPr>
        <w:t xml:space="preserve">Status:</w:t>
      </w:r>
      <w:r>
        <w:t xml:space="preserve"> </w:t>
      </w:r>
      <w:r>
        <w:t xml:space="preserve">Explained in §4.1 and §4.4; scheduled as §1.2 items 1 and 6. Not yet implemented.</w:t>
      </w:r>
    </w:p>
    <w:bookmarkStart w:id="52" w:name="a.1-start-the-recording-at-initialize"/>
    <w:p>
      <w:pPr>
        <w:pStyle w:val="Heading2"/>
      </w:pPr>
      <w:r>
        <w:t xml:space="preserve">A.1 Start the recording at Initialize</w:t>
      </w:r>
    </w:p>
    <w:p>
      <w:pPr>
        <w:pStyle w:val="FirstParagraph"/>
      </w:pPr>
      <w:r>
        <w:t xml:space="preserve">Today the logger powers down at Initialize and starts counting time at the</w:t>
      </w:r>
      <w:r>
        <w:t xml:space="preserve"> </w:t>
      </w:r>
      <w:r>
        <w:rPr>
          <w:iCs/>
          <w:i/>
        </w:rPr>
        <w:t xml:space="preserve">next</w:t>
      </w:r>
      <w:r>
        <w:t xml:space="preserve"> </w:t>
      </w:r>
      <w:r>
        <w:t xml:space="preserve">power-on, so the start time is only right if it is powered on at the entered minute. Two ways to remove this:</w:t>
      </w:r>
    </w:p>
    <w:p>
      <w:pPr>
        <w:numPr>
          <w:ilvl w:val="0"/>
          <w:numId w:val="1017"/>
        </w:numPr>
        <w:pStyle w:val="Compact"/>
      </w:pPr>
      <w:r>
        <w:rPr>
          <w:bCs/>
          <w:b/>
        </w:rPr>
        <w:t xml:space="preserve">Start at Initialize, from the computer’s clock.</w:t>
      </w:r>
      <w:r>
        <w:t xml:space="preserve"> </w:t>
      </w:r>
      <w:r>
        <w:t xml:space="preserve">The app sends</w:t>
      </w:r>
      <w:r>
        <w:t xml:space="preserve"> </w:t>
      </w:r>
      <w:r>
        <w:t xml:space="preserve">“</w:t>
      </w:r>
      <w:r>
        <w:t xml:space="preserve">now</w:t>
      </w:r>
      <w:r>
        <w:t xml:space="preserve">”</w:t>
      </w:r>
      <w:r>
        <w:t xml:space="preserve"> </w:t>
      </w:r>
      <w:r>
        <w:t xml:space="preserve">and the logger starts collecting immediately (no power-down). The start time is then exact, but the scheduled start goes away.</w:t>
      </w:r>
    </w:p>
    <w:p>
      <w:pPr>
        <w:numPr>
          <w:ilvl w:val="0"/>
          <w:numId w:val="1017"/>
        </w:numPr>
        <w:pStyle w:val="Compact"/>
      </w:pPr>
      <w:r>
        <w:rPr>
          <w:bCs/>
          <w:b/>
        </w:rPr>
        <w:t xml:space="preserve">Keep the scheduled start, but count from Initialize.</w:t>
      </w:r>
      <w:r>
        <w:t xml:space="preserve"> </w:t>
      </w:r>
      <w:r>
        <w:t xml:space="preserve">The logger stays on in low power after Initialize and starts collecting when the entered start time arrives. Also exact, at the cost of a little battery between Initialize and the start. This keeps today’s workflow.</w:t>
      </w:r>
    </w:p>
    <w:bookmarkEnd w:id="52"/>
    <w:bookmarkStart w:id="53" w:name="X7067aa404fd0484d1413deb92c2ee6bdcfc5df0"/>
    <w:p>
      <w:pPr>
        <w:pStyle w:val="Heading2"/>
      </w:pPr>
      <w:r>
        <w:t xml:space="preserve">A.2 Idle vs. collection by USB presence (optional)</w:t>
      </w:r>
    </w:p>
    <w:p>
      <w:pPr>
        <w:pStyle w:val="FirstParagraph"/>
      </w:pPr>
      <w:r>
        <w:t xml:space="preserve">Choose the mode at power-up by whether USB power is present (the nRF52840 reports this), instead of toggling on every power-up:</w:t>
      </w:r>
    </w:p>
    <w:p>
      <w:pPr>
        <w:numPr>
          <w:ilvl w:val="0"/>
          <w:numId w:val="1018"/>
        </w:numPr>
        <w:pStyle w:val="Compact"/>
      </w:pPr>
      <w:r>
        <w:t xml:space="preserve">USB connected → idle, answer the app.</w:t>
      </w:r>
    </w:p>
    <w:p>
      <w:pPr>
        <w:numPr>
          <w:ilvl w:val="0"/>
          <w:numId w:val="1018"/>
        </w:numPr>
        <w:pStyle w:val="Compact"/>
      </w:pPr>
      <w:r>
        <w:t xml:space="preserve">No USB → if initialized, start or</w:t>
      </w:r>
      <w:r>
        <w:t xml:space="preserve"> </w:t>
      </w:r>
      <w:r>
        <w:rPr>
          <w:bCs/>
          <w:b/>
        </w:rPr>
        <w:t xml:space="preserve">resume</w:t>
      </w:r>
      <w:r>
        <w:t xml:space="preserve"> </w:t>
      </w:r>
      <w:r>
        <w:t xml:space="preserve">collection, appending after the last record.</w:t>
      </w:r>
    </w:p>
    <w:p>
      <w:pPr>
        <w:pStyle w:val="FirstParagraph"/>
      </w:pPr>
      <w:r>
        <w:t xml:space="preserve">This makes a reset during a deployment cost only a gap instead of the rest of the recording, and the logger no longer needs a power-cycle before download. Resuming needs the elapsed time to continue across the reset, e.g. by storing a reset counter and leaving a marker row in the data.</w:t>
      </w:r>
    </w:p>
    <w:bookmarkEnd w:id="53"/>
    <w:bookmarkStart w:id="54" w:name="a.3-timing-and-storage"/>
    <w:p>
      <w:pPr>
        <w:pStyle w:val="Heading2"/>
      </w:pPr>
      <w:r>
        <w:t xml:space="preserve">A.3 Timing and storage</w:t>
      </w:r>
    </w:p>
    <w:p>
      <w:pPr>
        <w:numPr>
          <w:ilvl w:val="0"/>
          <w:numId w:val="1019"/>
        </w:numPr>
        <w:pStyle w:val="Compact"/>
      </w:pPr>
      <w:r>
        <w:t xml:space="preserve">Wrap-safe sleep:</w:t>
      </w:r>
      <w:r>
        <w:t xml:space="preserve"> </w:t>
      </w:r>
      <w:r>
        <w:rPr>
          <w:rStyle w:val="VerbatimChar"/>
        </w:rPr>
        <w:t xml:space="preserve">if ((int32_t)(nextWakeTime - currentTime) &gt; 0)</w:t>
      </w:r>
      <w:r>
        <w:t xml:space="preserve">. Test across the wrap with a temporary offset of about 2³² − 10 min added to</w:t>
      </w:r>
      <w:r>
        <w:t xml:space="preserve"> </w:t>
      </w:r>
      <w:r>
        <w:rPr>
          <w:rStyle w:val="VerbatimChar"/>
        </w:rPr>
        <w:t xml:space="preserve">millis()</w:t>
      </w:r>
      <w:r>
        <w:t xml:space="preserve"> </w:t>
      </w:r>
      <w:r>
        <w:t xml:space="preserve">in the logging path.</w:t>
      </w:r>
    </w:p>
    <w:p>
      <w:pPr>
        <w:numPr>
          <w:ilvl w:val="0"/>
          <w:numId w:val="1019"/>
        </w:numPr>
        <w:pStyle w:val="Compact"/>
      </w:pPr>
      <w:r>
        <w:t xml:space="preserve">Stop at</w:t>
      </w:r>
      <w:r>
        <w:t xml:space="preserve"> </w:t>
      </w:r>
      <w:r>
        <w:rPr>
          <w:rStyle w:val="VerbatimChar"/>
        </w:rPr>
        <w:t xml:space="preserve">MAX_DATA_ENTRIES</w:t>
      </w:r>
      <w:r>
        <w:t xml:space="preserve"> </w:t>
      </w:r>
      <w:r>
        <w:t xml:space="preserve">in</w:t>
      </w:r>
      <w:r>
        <w:t xml:space="preserve"> </w:t>
      </w:r>
      <w:r>
        <w:rPr>
          <w:rStyle w:val="VerbatimChar"/>
        </w:rPr>
        <w:t xml:space="preserve">saveTemperatureReading</w:t>
      </w:r>
      <w:r>
        <w:t xml:space="preserve">, or erase all the pages that may be written.</w:t>
      </w:r>
    </w:p>
    <w:bookmarkEnd w:id="54"/>
    <w:bookmarkEnd w:id="55"/>
    <w:bookmarkStart w:id="58" w:name="X1e46ee66dcce5645c2d432b6ebfb1a5d4d92f07"/>
    <w:p>
      <w:pPr>
        <w:pStyle w:val="Heading1"/>
      </w:pPr>
      <w:r>
        <w:t xml:space="preserve">Appendix B — Ground truth and re-tuning the detector</w:t>
      </w:r>
    </w:p>
    <w:p>
      <w:pPr>
        <w:pStyle w:val="FirstParagraph"/>
      </w:pPr>
      <w:r>
        <w:rPr>
          <w:bCs/>
          <w:b/>
        </w:rPr>
        <w:t xml:space="preserve">Status:</w:t>
      </w:r>
      <w:r>
        <w:t xml:space="preserve"> </w:t>
      </w:r>
      <w:r>
        <w:t xml:space="preserve">Needed before wear times are reported as results; scheduled as §1.2 item 3.</w:t>
      </w:r>
    </w:p>
    <w:bookmarkStart w:id="56" w:name="b.1-collecting-ground-truth"/>
    <w:p>
      <w:pPr>
        <w:pStyle w:val="Heading2"/>
      </w:pPr>
      <w:r>
        <w:t xml:space="preserve">B.1 Collecting ground truth</w:t>
      </w:r>
    </w:p>
    <w:p>
      <w:pPr>
        <w:numPr>
          <w:ilvl w:val="0"/>
          <w:numId w:val="1020"/>
        </w:numPr>
        <w:pStyle w:val="Compact"/>
      </w:pPr>
      <w:r>
        <w:rPr>
          <w:bCs/>
          <w:b/>
        </w:rPr>
        <w:t xml:space="preserve">Wear diary:</w:t>
      </w:r>
      <w:r>
        <w:t xml:space="preserve"> </w:t>
      </w:r>
      <w:r>
        <w:t xml:space="preserve">the participant (or staff, in a supervised session) records on/off times. Cheap, but coarse and subject to the same recall bias the logger is meant to avoid.</w:t>
      </w:r>
    </w:p>
    <w:p>
      <w:pPr>
        <w:numPr>
          <w:ilvl w:val="0"/>
          <w:numId w:val="1020"/>
        </w:numPr>
        <w:pStyle w:val="Compact"/>
      </w:pPr>
      <w:r>
        <w:rPr>
          <w:bCs/>
          <w:b/>
        </w:rPr>
        <w:t xml:space="preserve">Supervised sessions:</w:t>
      </w:r>
      <w:r>
        <w:t xml:space="preserve"> </w:t>
      </w:r>
      <w:r>
        <w:t xml:space="preserve">scripted on/off periods in the lab, including long continuous wear and confounders (warm room, splint left on a warm surface, covered but not worn).</w:t>
      </w:r>
    </w:p>
    <w:p>
      <w:pPr>
        <w:numPr>
          <w:ilvl w:val="0"/>
          <w:numId w:val="1020"/>
        </w:numPr>
        <w:pStyle w:val="Compact"/>
      </w:pPr>
      <w:r>
        <w:rPr>
          <w:bCs/>
          <w:b/>
        </w:rPr>
        <w:t xml:space="preserve">Reference sensor:</w:t>
      </w:r>
      <w:r>
        <w:t xml:space="preserve"> </w:t>
      </w:r>
      <w:r>
        <w:t xml:space="preserve">a second, independent sensor (e.g. a commercial temperature button logger on the skin side) for a few deployments.</w:t>
      </w:r>
    </w:p>
    <w:bookmarkEnd w:id="56"/>
    <w:bookmarkStart w:id="57" w:name="b.2-what-to-check"/>
    <w:p>
      <w:pPr>
        <w:pStyle w:val="Heading2"/>
      </w:pPr>
      <w:r>
        <w:t xml:space="preserve">B.2 What to check</w:t>
      </w:r>
    </w:p>
    <w:p>
      <w:pPr>
        <w:numPr>
          <w:ilvl w:val="0"/>
          <w:numId w:val="1021"/>
        </w:numPr>
        <w:pStyle w:val="Compact"/>
      </w:pPr>
      <w:r>
        <w:t xml:space="preserve">Per-event agreement (onset/offset within ±1 sample) and per-day wear minutes.</w:t>
      </w:r>
    </w:p>
    <w:p>
      <w:pPr>
        <w:numPr>
          <w:ilvl w:val="0"/>
          <w:numId w:val="1021"/>
        </w:numPr>
        <w:pStyle w:val="Compact"/>
      </w:pPr>
      <w:r>
        <w:rPr>
          <w:bCs/>
          <w:b/>
        </w:rPr>
        <w:t xml:space="preserve">Long wear:</w:t>
      </w:r>
      <w:r>
        <w:t xml:space="preserve"> </w:t>
      </w:r>
      <w:r>
        <w:t xml:space="preserve">whether overnight wear is split or cut short (§5.1). Possible fixes: a longer baseline window, freezing the baseline while an event is in progress, or requiring two consecutive cooling samples before ending an event.</w:t>
      </w:r>
    </w:p>
    <w:p>
      <w:pPr>
        <w:numPr>
          <w:ilvl w:val="0"/>
          <w:numId w:val="1021"/>
        </w:numPr>
        <w:pStyle w:val="Compact"/>
      </w:pPr>
      <w:r>
        <w:t xml:space="preserve">False positives in warm environments, and false negatives with a loose splint.</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2026-10-15T14:12:52Z</dcterms:created>
  <dcterms:modified xsi:type="dcterms:W3CDTF">2026-10-15T14:12:52Z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