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r>
        <w:t>Characterisation and Quantification of Data Centre Flexibility for Power System Support</w:t>
      </w:r>
    </w:p>
    <w:p>
      <w:pPr>
        <w:pStyle w:val="ListBullet"/>
      </w:pPr>
      <w:r>
        <w:t>An integrated model coordinates IT workloads, UPS batteries and cooling.</w:t>
      </w:r>
    </w:p>
    <w:p>
      <w:pPr>
        <w:pStyle w:val="ListBullet"/>
      </w:pPr>
      <w:r>
        <w:t>Flexibility is quantified by feasible power deviations and service durations.</w:t>
      </w:r>
    </w:p>
    <w:p>
      <w:pPr>
        <w:pStyle w:val="ListBullet"/>
      </w:pPr>
      <w:r>
        <w:t>Coordinated operation reduces annual electricity costs by 5.38%.</w:t>
      </w:r>
    </w:p>
    <w:p>
      <w:pPr>
        <w:pStyle w:val="ListBullet"/>
      </w:pPr>
      <w:r>
        <w:t>A 1 MW IT-rated site sustains a 100 kW load reduction for six hours at noon.</w:t>
      </w:r>
    </w:p>
    <w:p>
      <w:pPr>
        <w:pStyle w:val="ListBullet"/>
      </w:pPr>
      <w:r>
        <w:t>Workload flexibility has the largest savings effect among tested resources.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>James Day, Mehmet Türker Takci and Meysam Qadrdan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