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Amazon_Marketplace_Analytics_Project — BRD (Dashboard-aligned)</w:t>
      </w:r>
    </w:p>
    <w:p>
      <w:r>
        <w:t>Owner: Business Analyst (Jamie Christian) | Date: January 27, 2026</w:t>
      </w:r>
    </w:p>
    <w:p>
      <w:pPr>
        <w:pStyle w:val="Heading1"/>
      </w:pPr>
      <w:r>
        <w:t>Business Context</w:t>
      </w:r>
    </w:p>
    <w:p>
      <w:r>
        <w:t>This project is intentionally aligned to the uploaded dashboard file in /Dashboard. KPI names and field terminology match the dashboard model.</w:t>
      </w:r>
    </w:p>
    <w:p>
      <w:r>
        <w:t>Problem statement: Decision-making was slowed by inconsistent definitions and manual reporting. Stakeholders required a single source of truth dashboard with standardized KPIs and drilldowns.</w:t>
      </w:r>
    </w:p>
    <w:p>
      <w:pPr>
        <w:pStyle w:val="Heading1"/>
      </w:pPr>
      <w:r>
        <w:t>Stakeholders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Decision Rights</w:t>
            </w:r>
          </w:p>
        </w:tc>
        <w:tc>
          <w:tcPr>
            <w:tcW w:type="dxa" w:w="2160"/>
          </w:tcPr>
          <w:p>
            <w:r>
              <w:t>Primary KPI Focus</w:t>
            </w:r>
          </w:p>
        </w:tc>
      </w:tr>
      <w:tr>
        <w:tc>
          <w:tcPr>
            <w:tcW w:type="dxa" w:w="2160"/>
          </w:tcPr>
          <w:p>
            <w:r>
              <w:t>Kara Bennett</w:t>
            </w:r>
          </w:p>
        </w:tc>
        <w:tc>
          <w:tcPr>
            <w:tcW w:type="dxa" w:w="2160"/>
          </w:tcPr>
          <w:p>
            <w:r>
              <w:t>GM (Sponsor)</w:t>
            </w:r>
          </w:p>
        </w:tc>
        <w:tc>
          <w:tcPr>
            <w:tcW w:type="dxa" w:w="2160"/>
          </w:tcPr>
          <w:p>
            <w:r>
              <w:t>Approve growth &amp; margin actions</w:t>
            </w:r>
          </w:p>
        </w:tc>
        <w:tc>
          <w:tcPr>
            <w:tcW w:type="dxa" w:w="2160"/>
          </w:tcPr>
          <w:p>
            <w:r>
              <w:t>GMV / Take Rate % / Marketplace Revenue</w:t>
            </w:r>
          </w:p>
        </w:tc>
      </w:tr>
      <w:tr>
        <w:tc>
          <w:tcPr>
            <w:tcW w:type="dxa" w:w="2160"/>
          </w:tcPr>
          <w:p>
            <w:r>
              <w:t>Mei Tan</w:t>
            </w:r>
          </w:p>
        </w:tc>
        <w:tc>
          <w:tcPr>
            <w:tcW w:type="dxa" w:w="2160"/>
          </w:tcPr>
          <w:p>
            <w:r>
              <w:t>Performance Marketing</w:t>
            </w:r>
          </w:p>
        </w:tc>
        <w:tc>
          <w:tcPr>
            <w:tcW w:type="dxa" w:w="2160"/>
          </w:tcPr>
          <w:p>
            <w:r>
              <w:t>Own paid efficiency</w:t>
            </w:r>
          </w:p>
        </w:tc>
        <w:tc>
          <w:tcPr>
            <w:tcW w:type="dxa" w:w="2160"/>
          </w:tcPr>
          <w:p>
            <w:r>
              <w:t>AOV / Orders / GMV</w:t>
            </w:r>
          </w:p>
        </w:tc>
      </w:tr>
      <w:tr>
        <w:tc>
          <w:tcPr>
            <w:tcW w:type="dxa" w:w="2160"/>
          </w:tcPr>
          <w:p>
            <w:r>
              <w:t>Luis Ortega</w:t>
            </w:r>
          </w:p>
        </w:tc>
        <w:tc>
          <w:tcPr>
            <w:tcW w:type="dxa" w:w="2160"/>
          </w:tcPr>
          <w:p>
            <w:r>
              <w:t>Finance Analyst</w:t>
            </w:r>
          </w:p>
        </w:tc>
        <w:tc>
          <w:tcPr>
            <w:tcW w:type="dxa" w:w="2160"/>
          </w:tcPr>
          <w:p>
            <w:r>
              <w:t>Validate margin math</w:t>
            </w:r>
          </w:p>
        </w:tc>
        <w:tc>
          <w:tcPr>
            <w:tcW w:type="dxa" w:w="2160"/>
          </w:tcPr>
          <w:p>
            <w:r>
              <w:t>Marketplace Revenue / Take Rate %</w:t>
            </w:r>
          </w:p>
        </w:tc>
      </w:tr>
    </w:tbl>
    <w:p>
      <w:pPr>
        <w:pStyle w:val="Heading1"/>
      </w:pPr>
      <w:r>
        <w:t>KPIs (Dashboard terminology)</w:t>
      </w:r>
    </w:p>
    <w:p>
      <w:pPr>
        <w:pStyle w:val="ListBullet"/>
      </w:pPr>
      <w:r>
        <w:t>GMV</w:t>
      </w:r>
    </w:p>
    <w:p>
      <w:pPr>
        <w:pStyle w:val="ListBullet"/>
      </w:pPr>
      <w:r>
        <w:t>Orders</w:t>
      </w:r>
    </w:p>
    <w:p>
      <w:pPr>
        <w:pStyle w:val="ListBullet"/>
      </w:pPr>
      <w:r>
        <w:t>Units Sold</w:t>
      </w:r>
    </w:p>
    <w:p>
      <w:pPr>
        <w:pStyle w:val="ListBullet"/>
      </w:pPr>
      <w:r>
        <w:t>AOV</w:t>
      </w:r>
    </w:p>
    <w:p>
      <w:pPr>
        <w:pStyle w:val="ListBullet"/>
      </w:pPr>
      <w:r>
        <w:t>Take Rate %</w:t>
      </w:r>
    </w:p>
    <w:p>
      <w:pPr>
        <w:pStyle w:val="ListBullet"/>
      </w:pPr>
      <w:r>
        <w:t>Marketplace Revenue</w:t>
      </w:r>
    </w:p>
    <w:p>
      <w:pPr>
        <w:pStyle w:val="ListBullet"/>
      </w:pPr>
      <w:r>
        <w:t>Year</w:t>
      </w:r>
    </w:p>
    <w:p>
      <w:pPr>
        <w:pStyle w:val="ListBullet"/>
      </w:pPr>
      <w:r>
        <w:t>YearMonth</w:t>
      </w:r>
    </w:p>
    <w:p>
      <w:pPr>
        <w:pStyle w:val="Heading1"/>
      </w:pPr>
      <w:r>
        <w:t>Scope</w:t>
      </w:r>
    </w:p>
    <w:p>
      <w:r>
        <w:t>In-scope: KPI definitions, dataset design, refresh rules, dashboard requirements, governance artifacts (stakeholders/RAID/traceability), and executive communication.</w:t>
      </w:r>
    </w:p>
    <w:p>
      <w:r>
        <w:t>Out-of-scope: platform replacements, contract negotiations, or upstream system re-architecture.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