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FPnA_Executive_Analytics_Project — Data Dictionary</w:t>
      </w:r>
    </w:p>
    <w:p>
      <w:r>
        <w:t>This document defines every field used in the dataset and aligns with the dashboard model.</w:t>
      </w:r>
    </w:p>
    <w:p>
      <w:pPr>
        <w:pStyle w:val="Heading1"/>
      </w:pPr>
      <w:r>
        <w:t>Dataset</w:t>
      </w:r>
    </w:p>
    <w:p>
      <w:r>
        <w:t>fpna_dashboard_aligned.csv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Field Name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Data Type</w:t>
            </w:r>
          </w:p>
        </w:tc>
        <w:tc>
          <w:tcPr>
            <w:tcW w:type="dxa" w:w="1728"/>
          </w:tcPr>
          <w:p>
            <w:r>
              <w:t>Example</w:t>
            </w:r>
          </w:p>
        </w:tc>
        <w:tc>
          <w:tcPr>
            <w:tcW w:type="dxa" w:w="1728"/>
          </w:tcPr>
          <w:p>
            <w:r>
              <w:t>Used In Dashboard</w:t>
            </w:r>
          </w:p>
        </w:tc>
      </w:tr>
      <w:tr>
        <w:tc>
          <w:tcPr>
            <w:tcW w:type="dxa" w:w="1728"/>
          </w:tcPr>
          <w:p>
            <w:r>
              <w:t>MonthYear</w:t>
            </w:r>
          </w:p>
        </w:tc>
        <w:tc>
          <w:tcPr>
            <w:tcW w:type="dxa" w:w="1728"/>
          </w:tcPr>
          <w:p>
            <w:r>
              <w:t>MonthYear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2025-07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Department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Customer Success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Revenue Actual</w:t>
            </w:r>
          </w:p>
        </w:tc>
        <w:tc>
          <w:tcPr>
            <w:tcW w:type="dxa" w:w="1728"/>
          </w:tcPr>
          <w:p>
            <w:r>
              <w:t>Revenue Actual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368128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Revenue Budget</w:t>
            </w:r>
          </w:p>
        </w:tc>
        <w:tc>
          <w:tcPr>
            <w:tcW w:type="dxa" w:w="1728"/>
          </w:tcPr>
          <w:p>
            <w:r>
              <w:t>Revenue Budget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368058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Revenue Variance</w:t>
            </w:r>
          </w:p>
        </w:tc>
        <w:tc>
          <w:tcPr>
            <w:tcW w:type="dxa" w:w="1728"/>
          </w:tcPr>
          <w:p>
            <w:r>
              <w:t>Revenue Variance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Revenue Variance %</w:t>
            </w:r>
          </w:p>
        </w:tc>
        <w:tc>
          <w:tcPr>
            <w:tcW w:type="dxa" w:w="1728"/>
          </w:tcPr>
          <w:p>
            <w:r>
              <w:t>Revenue Variance %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0.0002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Opex (Positive)</w:t>
            </w:r>
          </w:p>
        </w:tc>
        <w:tc>
          <w:tcPr>
            <w:tcW w:type="dxa" w:w="1728"/>
          </w:tcPr>
          <w:p>
            <w:r>
              <w:t>Opex (Positive)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179957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Operating Income</w:t>
            </w:r>
          </w:p>
        </w:tc>
        <w:tc>
          <w:tcPr>
            <w:tcW w:type="dxa" w:w="1728"/>
          </w:tcPr>
          <w:p>
            <w:r>
              <w:t>Operating Income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-10631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Gross Margin %</w:t>
            </w:r>
          </w:p>
        </w:tc>
        <w:tc>
          <w:tcPr>
            <w:tcW w:type="dxa" w:w="1728"/>
          </w:tcPr>
          <w:p>
            <w:r>
              <w:t>Gross Margin % as defined for analytics and reporting</w:t>
            </w:r>
          </w:p>
        </w:tc>
        <w:tc>
          <w:tcPr>
            <w:tcW w:type="dxa" w:w="1728"/>
          </w:tcPr>
          <w:p>
            <w:r>
              <w:t>String / Numeric</w:t>
            </w:r>
          </w:p>
        </w:tc>
        <w:tc>
          <w:tcPr>
            <w:tcW w:type="dxa" w:w="1728"/>
          </w:tcPr>
          <w:p>
            <w:r>
              <w:t>0.46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