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FPnA_Executive_Analytics_Project — FRD (Dashboard-aligned)</w:t>
      </w:r>
    </w:p>
    <w:p>
      <w:r>
        <w:t>This FRD documents the functional calculations and filter behavior used in the dashboard.</w:t>
      </w:r>
    </w:p>
    <w:p>
      <w:pPr>
        <w:pStyle w:val="Heading1"/>
      </w:pPr>
      <w:r>
        <w:t>Key Fields &amp; Definitions (matching dashboard)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Field/Measure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Revenue Actual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Revenue Budget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Revenue Variance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Revenue Variance %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Opex (Positive)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Operating Income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Gross Margin %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MonthYear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</w:tbl>
    <w:p>
      <w:pPr>
        <w:pStyle w:val="Heading1"/>
      </w:pPr>
      <w:r>
        <w:t>User Stories (Agile)</w:t>
      </w:r>
    </w:p>
    <w:p>
      <w:pPr>
        <w:pStyle w:val="ListNumber"/>
      </w:pPr>
      <w:r>
        <w:t>As an executive, I want KPI tiles aligned to the dashboard measures so I can make decisions faster.</w:t>
      </w:r>
    </w:p>
    <w:p>
      <w:r>
        <w:t>Acceptance Criteria:</w:t>
      </w:r>
    </w:p>
    <w:p>
      <w:pPr>
        <w:pStyle w:val="ListBullet2"/>
      </w:pPr>
      <w:r>
        <w:t>Totals reconcile to dataset and refresh rules.</w:t>
      </w:r>
    </w:p>
    <w:p>
      <w:pPr>
        <w:pStyle w:val="ListBullet2"/>
      </w:pPr>
      <w:r>
        <w:t>Filters/drilldowns keep totals consistent.</w:t>
      </w:r>
    </w:p>
    <w:p>
      <w:pPr>
        <w:pStyle w:val="Heading1"/>
      </w:pPr>
      <w:r>
        <w:t>Dataset File</w:t>
      </w:r>
    </w:p>
    <w:p>
      <w:r>
        <w:t>Source dataset for analysis and testing: /Data/fpna_dashboard_aligned.csv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