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897D" w14:textId="77777777" w:rsidR="00947010" w:rsidRDefault="00000000">
      <w:pPr>
        <w:pStyle w:val="Title"/>
      </w:pPr>
      <w:r>
        <w:t>Marketing_Performance_ROI_Project — BRD (Dashboard-aligned)</w:t>
      </w:r>
    </w:p>
    <w:p w14:paraId="43E25561" w14:textId="77777777" w:rsidR="00947010" w:rsidRDefault="00000000">
      <w:r>
        <w:t>Owner: Business Analyst (Jamie Christian) | Date: January 27, 2026</w:t>
      </w:r>
    </w:p>
    <w:p w14:paraId="5CF24354" w14:textId="77777777" w:rsidR="00947010" w:rsidRDefault="00000000">
      <w:pPr>
        <w:pStyle w:val="Heading1"/>
      </w:pPr>
      <w:r>
        <w:t>Business Context</w:t>
      </w:r>
    </w:p>
    <w:p w14:paraId="550DC63B" w14:textId="77777777" w:rsidR="00947010" w:rsidRDefault="00000000">
      <w:r>
        <w:t>This project is intentionally aligned to the uploaded dashboard file in /Dashboard. KPI names and field terminology match the dashboard model.</w:t>
      </w:r>
    </w:p>
    <w:p w14:paraId="0C7AA1AC" w14:textId="77777777" w:rsidR="00947010" w:rsidRDefault="00000000">
      <w:r>
        <w:t>Problem statement: Decision-making was slowed by inconsistent definitions and manual reporting. Stakeholders required a single source of truth dashboard with standardized KPIs and drilldowns.</w:t>
      </w:r>
    </w:p>
    <w:p w14:paraId="57990DF6" w14:textId="77777777" w:rsidR="00947010" w:rsidRDefault="00000000">
      <w:pPr>
        <w:pStyle w:val="Heading1"/>
      </w:pPr>
      <w:r>
        <w:t>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7010" w14:paraId="6F2B7B06" w14:textId="77777777" w:rsidTr="008B5F7C">
        <w:tc>
          <w:tcPr>
            <w:tcW w:w="2160" w:type="dxa"/>
          </w:tcPr>
          <w:p w14:paraId="25B98557" w14:textId="77777777" w:rsidR="00947010" w:rsidRDefault="00000000">
            <w:r>
              <w:t>Name</w:t>
            </w:r>
          </w:p>
        </w:tc>
        <w:tc>
          <w:tcPr>
            <w:tcW w:w="2160" w:type="dxa"/>
          </w:tcPr>
          <w:p w14:paraId="593D0E74" w14:textId="77777777" w:rsidR="00947010" w:rsidRDefault="00000000">
            <w:r>
              <w:t>Role</w:t>
            </w:r>
          </w:p>
        </w:tc>
        <w:tc>
          <w:tcPr>
            <w:tcW w:w="2160" w:type="dxa"/>
          </w:tcPr>
          <w:p w14:paraId="16606CA8" w14:textId="77777777" w:rsidR="00947010" w:rsidRDefault="00000000">
            <w:r>
              <w:t>Decision Rights</w:t>
            </w:r>
          </w:p>
        </w:tc>
        <w:tc>
          <w:tcPr>
            <w:tcW w:w="2160" w:type="dxa"/>
          </w:tcPr>
          <w:p w14:paraId="0C352DD2" w14:textId="77777777" w:rsidR="00947010" w:rsidRDefault="00000000">
            <w:r>
              <w:t>Primary KPI Focus</w:t>
            </w:r>
          </w:p>
        </w:tc>
      </w:tr>
      <w:tr w:rsidR="00947010" w14:paraId="69B63E82" w14:textId="77777777" w:rsidTr="008B5F7C">
        <w:tc>
          <w:tcPr>
            <w:tcW w:w="2160" w:type="dxa"/>
          </w:tcPr>
          <w:p w14:paraId="721B75AF" w14:textId="77777777" w:rsidR="00947010" w:rsidRDefault="00000000">
            <w:r>
              <w:t>Tessa Vaughn</w:t>
            </w:r>
          </w:p>
        </w:tc>
        <w:tc>
          <w:tcPr>
            <w:tcW w:w="2160" w:type="dxa"/>
          </w:tcPr>
          <w:p w14:paraId="227EB8FB" w14:textId="77777777" w:rsidR="00947010" w:rsidRDefault="00000000">
            <w:r>
              <w:t>VP Growth</w:t>
            </w:r>
          </w:p>
        </w:tc>
        <w:tc>
          <w:tcPr>
            <w:tcW w:w="2160" w:type="dxa"/>
          </w:tcPr>
          <w:p w14:paraId="728B3924" w14:textId="77777777" w:rsidR="00947010" w:rsidRDefault="00000000">
            <w:r>
              <w:t>Budget decisions</w:t>
            </w:r>
          </w:p>
        </w:tc>
        <w:tc>
          <w:tcPr>
            <w:tcW w:w="2160" w:type="dxa"/>
          </w:tcPr>
          <w:p w14:paraId="621C109D" w14:textId="77777777" w:rsidR="00947010" w:rsidRDefault="00000000">
            <w:r>
              <w:t>Cost / Revenue / P&amp;L</w:t>
            </w:r>
          </w:p>
        </w:tc>
      </w:tr>
      <w:tr w:rsidR="00947010" w14:paraId="17DF455B" w14:textId="77777777" w:rsidTr="008B5F7C">
        <w:tc>
          <w:tcPr>
            <w:tcW w:w="2160" w:type="dxa"/>
          </w:tcPr>
          <w:p w14:paraId="0F88FB83" w14:textId="77777777" w:rsidR="00947010" w:rsidRDefault="00000000">
            <w:r>
              <w:t>Malik Johnson</w:t>
            </w:r>
          </w:p>
        </w:tc>
        <w:tc>
          <w:tcPr>
            <w:tcW w:w="2160" w:type="dxa"/>
          </w:tcPr>
          <w:p w14:paraId="152594DA" w14:textId="77777777" w:rsidR="00947010" w:rsidRDefault="00000000">
            <w:r>
              <w:t>Marketing Ops</w:t>
            </w:r>
          </w:p>
        </w:tc>
        <w:tc>
          <w:tcPr>
            <w:tcW w:w="2160" w:type="dxa"/>
          </w:tcPr>
          <w:p w14:paraId="5DCC34E1" w14:textId="77777777" w:rsidR="00947010" w:rsidRDefault="00000000">
            <w:r>
              <w:t>Tracking standards</w:t>
            </w:r>
          </w:p>
        </w:tc>
        <w:tc>
          <w:tcPr>
            <w:tcW w:w="2160" w:type="dxa"/>
          </w:tcPr>
          <w:p w14:paraId="7E1572BA" w14:textId="77777777" w:rsidR="00947010" w:rsidRDefault="00000000">
            <w:r>
              <w:t>CTR / CPC / Conv Rate</w:t>
            </w:r>
          </w:p>
        </w:tc>
      </w:tr>
      <w:tr w:rsidR="00947010" w14:paraId="2C461DB4" w14:textId="77777777" w:rsidTr="008B5F7C">
        <w:tc>
          <w:tcPr>
            <w:tcW w:w="2160" w:type="dxa"/>
          </w:tcPr>
          <w:p w14:paraId="6B746A3B" w14:textId="77777777" w:rsidR="00947010" w:rsidRDefault="00000000">
            <w:r>
              <w:t>Elena Park</w:t>
            </w:r>
          </w:p>
        </w:tc>
        <w:tc>
          <w:tcPr>
            <w:tcW w:w="2160" w:type="dxa"/>
          </w:tcPr>
          <w:p w14:paraId="6C1C3FC9" w14:textId="77777777" w:rsidR="00947010" w:rsidRDefault="00000000">
            <w:r>
              <w:t>Finance BP</w:t>
            </w:r>
          </w:p>
        </w:tc>
        <w:tc>
          <w:tcPr>
            <w:tcW w:w="2160" w:type="dxa"/>
          </w:tcPr>
          <w:p w14:paraId="12C7E082" w14:textId="77777777" w:rsidR="00947010" w:rsidRDefault="00000000">
            <w:r>
              <w:t>Methodology approval</w:t>
            </w:r>
          </w:p>
        </w:tc>
        <w:tc>
          <w:tcPr>
            <w:tcW w:w="2160" w:type="dxa"/>
          </w:tcPr>
          <w:p w14:paraId="18FC90A7" w14:textId="77777777" w:rsidR="00947010" w:rsidRDefault="00000000">
            <w:r>
              <w:t>P&amp;L / Revenue</w:t>
            </w:r>
          </w:p>
        </w:tc>
      </w:tr>
    </w:tbl>
    <w:p w14:paraId="18EE3D5D" w14:textId="77777777" w:rsidR="00947010" w:rsidRDefault="00000000">
      <w:pPr>
        <w:pStyle w:val="Heading1"/>
      </w:pPr>
      <w:r>
        <w:t>KPIs (Dashboard terminology)</w:t>
      </w:r>
    </w:p>
    <w:p w14:paraId="06B4CA64" w14:textId="77777777" w:rsidR="00947010" w:rsidRDefault="00000000">
      <w:pPr>
        <w:pStyle w:val="ListBullet"/>
      </w:pPr>
      <w:r>
        <w:t>Month</w:t>
      </w:r>
    </w:p>
    <w:p w14:paraId="60C51B3E" w14:textId="77777777" w:rsidR="00947010" w:rsidRDefault="00000000">
      <w:pPr>
        <w:pStyle w:val="ListBullet"/>
      </w:pPr>
      <w:r>
        <w:t>Ad Group</w:t>
      </w:r>
    </w:p>
    <w:p w14:paraId="04B30D37" w14:textId="77777777" w:rsidR="00947010" w:rsidRDefault="00000000">
      <w:pPr>
        <w:pStyle w:val="ListBullet"/>
      </w:pPr>
      <w:r>
        <w:t>Device</w:t>
      </w:r>
    </w:p>
    <w:p w14:paraId="640EBBD6" w14:textId="77777777" w:rsidR="00947010" w:rsidRDefault="00000000">
      <w:pPr>
        <w:pStyle w:val="ListBullet"/>
      </w:pPr>
      <w:r>
        <w:t>Impressions</w:t>
      </w:r>
    </w:p>
    <w:p w14:paraId="2448FE2D" w14:textId="77777777" w:rsidR="00947010" w:rsidRDefault="00000000">
      <w:pPr>
        <w:pStyle w:val="ListBullet"/>
      </w:pPr>
      <w:r>
        <w:t>Clicks</w:t>
      </w:r>
    </w:p>
    <w:p w14:paraId="1F4BBA60" w14:textId="77777777" w:rsidR="00947010" w:rsidRDefault="00000000">
      <w:pPr>
        <w:pStyle w:val="ListBullet"/>
      </w:pPr>
      <w:r>
        <w:t>CTR</w:t>
      </w:r>
    </w:p>
    <w:p w14:paraId="3739A6EE" w14:textId="77777777" w:rsidR="00947010" w:rsidRDefault="00000000">
      <w:pPr>
        <w:pStyle w:val="ListBullet"/>
      </w:pPr>
      <w:r>
        <w:t>CPC</w:t>
      </w:r>
    </w:p>
    <w:p w14:paraId="39C5B8D3" w14:textId="77777777" w:rsidR="00947010" w:rsidRDefault="00000000">
      <w:pPr>
        <w:pStyle w:val="ListBullet"/>
      </w:pPr>
      <w:r>
        <w:t>Conv Rate</w:t>
      </w:r>
    </w:p>
    <w:p w14:paraId="7150519D" w14:textId="77777777" w:rsidR="00947010" w:rsidRDefault="00000000">
      <w:pPr>
        <w:pStyle w:val="ListBullet"/>
      </w:pPr>
      <w:r>
        <w:t>Conversions</w:t>
      </w:r>
    </w:p>
    <w:p w14:paraId="3157E182" w14:textId="77777777" w:rsidR="00947010" w:rsidRDefault="00000000">
      <w:pPr>
        <w:pStyle w:val="ListBullet"/>
      </w:pPr>
      <w:r>
        <w:t>Cost</w:t>
      </w:r>
    </w:p>
    <w:p w14:paraId="1372FA3E" w14:textId="77777777" w:rsidR="00947010" w:rsidRDefault="00000000">
      <w:pPr>
        <w:pStyle w:val="ListBullet"/>
      </w:pPr>
      <w:r>
        <w:t>Revenue</w:t>
      </w:r>
    </w:p>
    <w:p w14:paraId="3CF6D0F9" w14:textId="77777777" w:rsidR="00947010" w:rsidRDefault="00000000">
      <w:pPr>
        <w:pStyle w:val="ListBullet"/>
      </w:pPr>
      <w:r>
        <w:t>Sale Amount</w:t>
      </w:r>
    </w:p>
    <w:p w14:paraId="63BBBFFD" w14:textId="77777777" w:rsidR="00947010" w:rsidRDefault="00000000">
      <w:pPr>
        <w:pStyle w:val="Heading1"/>
      </w:pPr>
      <w:r>
        <w:lastRenderedPageBreak/>
        <w:t>Scope</w:t>
      </w:r>
    </w:p>
    <w:p w14:paraId="34C13D74" w14:textId="77777777" w:rsidR="00947010" w:rsidRDefault="00000000">
      <w:r>
        <w:t>In-scope: KPI definitions, dataset design, refresh rules, dashboard requirements, governance artifacts (stakeholders/RAID/traceability), and executive communication.</w:t>
      </w:r>
    </w:p>
    <w:p w14:paraId="745F5E3C" w14:textId="77777777" w:rsidR="00947010" w:rsidRDefault="00000000">
      <w:r>
        <w:t>Out-of-scope: platform replacements, contract negotiations, or upstream system re-architecture.</w:t>
      </w:r>
    </w:p>
    <w:sectPr w:rsidR="009470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566873">
    <w:abstractNumId w:val="8"/>
  </w:num>
  <w:num w:numId="2" w16cid:durableId="797185835">
    <w:abstractNumId w:val="6"/>
  </w:num>
  <w:num w:numId="3" w16cid:durableId="1124278131">
    <w:abstractNumId w:val="5"/>
  </w:num>
  <w:num w:numId="4" w16cid:durableId="1242182474">
    <w:abstractNumId w:val="4"/>
  </w:num>
  <w:num w:numId="5" w16cid:durableId="683483358">
    <w:abstractNumId w:val="7"/>
  </w:num>
  <w:num w:numId="6" w16cid:durableId="1138258100">
    <w:abstractNumId w:val="3"/>
  </w:num>
  <w:num w:numId="7" w16cid:durableId="1432242356">
    <w:abstractNumId w:val="2"/>
  </w:num>
  <w:num w:numId="8" w16cid:durableId="1002270508">
    <w:abstractNumId w:val="1"/>
  </w:num>
  <w:num w:numId="9" w16cid:durableId="21050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A23"/>
    <w:rsid w:val="008B5F7C"/>
    <w:rsid w:val="009470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B0568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2026-01-29T03:27:00Z</dcterms:modified>
  <cp:category/>
</cp:coreProperties>
</file>