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FPnA_Executive_Analytics_Project — BRD (Dashboard-aligned)</w:t>
      </w:r>
    </w:p>
    <w:p>
      <w:r>
        <w:t>Owner: Business Analyst (Jamie Christian) | Date: January 27, 2026</w:t>
      </w:r>
    </w:p>
    <w:p>
      <w:pPr>
        <w:pStyle w:val="Heading1"/>
      </w:pPr>
      <w:r>
        <w:t>Business Context</w:t>
      </w:r>
    </w:p>
    <w:p>
      <w:r>
        <w:t>This project is intentionally aligned to the uploaded dashboard file in /Dashboard. KPI names and field terminology match the dashboard model.</w:t>
      </w:r>
    </w:p>
    <w:p>
      <w:r>
        <w:t>Problem statement: Decision-making was slowed by inconsistent definitions and manual reporting. Stakeholders required a single source of truth dashboard with standardized KPIs and drilldowns.</w:t>
      </w:r>
    </w:p>
    <w:p>
      <w:pPr>
        <w:pStyle w:val="Heading1"/>
      </w:pPr>
      <w:r>
        <w:t>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Decision Rights</w:t>
            </w:r>
          </w:p>
        </w:tc>
        <w:tc>
          <w:tcPr>
            <w:tcW w:type="dxa" w:w="2160"/>
          </w:tcPr>
          <w:p>
            <w:r>
              <w:t>Primary KPI Focus</w:t>
            </w:r>
          </w:p>
        </w:tc>
      </w:tr>
      <w:tr>
        <w:tc>
          <w:tcPr>
            <w:tcW w:type="dxa" w:w="2160"/>
          </w:tcPr>
          <w:p>
            <w:r>
              <w:t>Angela Morrison</w:t>
            </w:r>
          </w:p>
        </w:tc>
        <w:tc>
          <w:tcPr>
            <w:tcW w:type="dxa" w:w="2160"/>
          </w:tcPr>
          <w:p>
            <w:r>
              <w:t>CFO (Sponsor)</w:t>
            </w:r>
          </w:p>
        </w:tc>
        <w:tc>
          <w:tcPr>
            <w:tcW w:type="dxa" w:w="2160"/>
          </w:tcPr>
          <w:p>
            <w:r>
              <w:t>Approve KPI definitions</w:t>
            </w:r>
          </w:p>
        </w:tc>
        <w:tc>
          <w:tcPr>
            <w:tcW w:type="dxa" w:w="2160"/>
          </w:tcPr>
          <w:p>
            <w:r>
              <w:t>Revenue Actual / Revenue Budget / Operating Income</w:t>
            </w:r>
          </w:p>
        </w:tc>
      </w:tr>
      <w:tr>
        <w:tc>
          <w:tcPr>
            <w:tcW w:type="dxa" w:w="2160"/>
          </w:tcPr>
          <w:p>
            <w:r>
              <w:t>Simone Alvarez</w:t>
            </w:r>
          </w:p>
        </w:tc>
        <w:tc>
          <w:tcPr>
            <w:tcW w:type="dxa" w:w="2160"/>
          </w:tcPr>
          <w:p>
            <w:r>
              <w:t>FP&amp;A Manager</w:t>
            </w:r>
          </w:p>
        </w:tc>
        <w:tc>
          <w:tcPr>
            <w:tcW w:type="dxa" w:w="2160"/>
          </w:tcPr>
          <w:p>
            <w:r>
              <w:t>Budget and variance narrative</w:t>
            </w:r>
          </w:p>
        </w:tc>
        <w:tc>
          <w:tcPr>
            <w:tcW w:type="dxa" w:w="2160"/>
          </w:tcPr>
          <w:p>
            <w:r>
              <w:t>Revenue Variance % / Opex (Positive)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RevOps Manager</w:t>
            </w:r>
          </w:p>
        </w:tc>
        <w:tc>
          <w:tcPr>
            <w:tcW w:type="dxa" w:w="2160"/>
          </w:tcPr>
          <w:p>
            <w:r>
              <w:t>Data quality signoff</w:t>
            </w:r>
          </w:p>
        </w:tc>
        <w:tc>
          <w:tcPr>
            <w:tcW w:type="dxa" w:w="2160"/>
          </w:tcPr>
          <w:p>
            <w:r>
              <w:t>MonthYear totals reconciliation</w:t>
            </w:r>
          </w:p>
        </w:tc>
      </w:tr>
    </w:tbl>
    <w:p>
      <w:pPr>
        <w:pStyle w:val="Heading1"/>
      </w:pPr>
      <w:r>
        <w:t>KPIs (Dashboard terminology)</w:t>
      </w:r>
    </w:p>
    <w:p>
      <w:pPr>
        <w:pStyle w:val="ListBullet"/>
      </w:pPr>
      <w:r>
        <w:t>Revenue Actual</w:t>
      </w:r>
    </w:p>
    <w:p>
      <w:pPr>
        <w:pStyle w:val="ListBullet"/>
      </w:pPr>
      <w:r>
        <w:t>Revenue Budget</w:t>
      </w:r>
    </w:p>
    <w:p>
      <w:pPr>
        <w:pStyle w:val="ListBullet"/>
      </w:pPr>
      <w:r>
        <w:t>Revenue Variance</w:t>
      </w:r>
    </w:p>
    <w:p>
      <w:pPr>
        <w:pStyle w:val="ListBullet"/>
      </w:pPr>
      <w:r>
        <w:t>Revenue Variance %</w:t>
      </w:r>
    </w:p>
    <w:p>
      <w:pPr>
        <w:pStyle w:val="ListBullet"/>
      </w:pPr>
      <w:r>
        <w:t>Revenue</w:t>
      </w:r>
    </w:p>
    <w:p>
      <w:pPr>
        <w:pStyle w:val="ListBullet"/>
      </w:pPr>
      <w:r>
        <w:t>Opex (Positive)</w:t>
      </w:r>
    </w:p>
    <w:p>
      <w:pPr>
        <w:pStyle w:val="ListBullet"/>
      </w:pPr>
      <w:r>
        <w:t>Operating Income</w:t>
      </w:r>
    </w:p>
    <w:p>
      <w:pPr>
        <w:pStyle w:val="ListBullet"/>
      </w:pPr>
      <w:r>
        <w:t>Gross Margin %</w:t>
      </w:r>
    </w:p>
    <w:p>
      <w:pPr>
        <w:pStyle w:val="ListBullet"/>
      </w:pPr>
      <w:r>
        <w:t>MonthYear</w:t>
      </w:r>
    </w:p>
    <w:p>
      <w:pPr>
        <w:pStyle w:val="ListBullet"/>
      </w:pPr>
      <w:r>
        <w:t>Department</w:t>
      </w:r>
    </w:p>
    <w:p>
      <w:pPr>
        <w:pStyle w:val="ListBullet"/>
      </w:pPr>
      <w:r>
        <w:t>Account</w:t>
      </w:r>
    </w:p>
    <w:p>
      <w:pPr>
        <w:pStyle w:val="ListBullet"/>
      </w:pPr>
      <w:r>
        <w:t>AccountCategory</w:t>
      </w:r>
    </w:p>
    <w:p>
      <w:pPr>
        <w:pStyle w:val="Heading1"/>
      </w:pPr>
      <w:r>
        <w:t>Scope</w:t>
      </w:r>
    </w:p>
    <w:p>
      <w:r>
        <w:t>In-scope: KPI definitions, dataset design, refresh rules, dashboard requirements, governance artifacts (stakeholders/RAID/traceability), and executive communication.</w:t>
      </w:r>
    </w:p>
    <w:p>
      <w:r>
        <w:t>Out-of-scope: platform replacements, contract negotiations, or upstream system re-architecture.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