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Regional_Sales_Performance_Project — BRD (Dashboard-aligned)</w:t>
      </w:r>
    </w:p>
    <w:p>
      <w:r>
        <w:t>Owner: Business Analyst (Jamie Christian) | Date: January 27, 2026</w:t>
      </w:r>
    </w:p>
    <w:p>
      <w:pPr>
        <w:pStyle w:val="Heading1"/>
      </w:pPr>
      <w:r>
        <w:t>Business Context</w:t>
      </w:r>
    </w:p>
    <w:p>
      <w:r>
        <w:t>This project is intentionally aligned to the uploaded dashboard file in /Dashboard. KPI names and field terminology match the dashboard model.</w:t>
      </w:r>
    </w:p>
    <w:p>
      <w:r>
        <w:t>Problem statement: Decision-making was slowed by inconsistent definitions and manual reporting. Stakeholders required a single source of truth dashboard with standardized KPIs and drilldowns.</w:t>
      </w:r>
    </w:p>
    <w:p>
      <w:pPr>
        <w:pStyle w:val="Heading1"/>
      </w:pPr>
      <w:r>
        <w:t>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Decision Rights</w:t>
            </w:r>
          </w:p>
        </w:tc>
        <w:tc>
          <w:tcPr>
            <w:tcW w:type="dxa" w:w="2160"/>
          </w:tcPr>
          <w:p>
            <w:r>
              <w:t>Primary KPI Focus</w:t>
            </w:r>
          </w:p>
        </w:tc>
      </w:tr>
      <w:tr>
        <w:tc>
          <w:tcPr>
            <w:tcW w:type="dxa" w:w="2160"/>
          </w:tcPr>
          <w:p>
            <w:r>
              <w:t>Carmen Blake</w:t>
            </w:r>
          </w:p>
        </w:tc>
        <w:tc>
          <w:tcPr>
            <w:tcW w:type="dxa" w:w="2160"/>
          </w:tcPr>
          <w:p>
            <w:r>
              <w:t>VP Sales</w:t>
            </w:r>
          </w:p>
        </w:tc>
        <w:tc>
          <w:tcPr>
            <w:tcW w:type="dxa" w:w="2160"/>
          </w:tcPr>
          <w:p>
            <w:r>
              <w:t>Territory decisions</w:t>
            </w:r>
          </w:p>
        </w:tc>
        <w:tc>
          <w:tcPr>
            <w:tcW w:type="dxa" w:w="2160"/>
          </w:tcPr>
          <w:p>
            <w:r>
              <w:t>Sales by Zone/City</w:t>
            </w:r>
          </w:p>
        </w:tc>
      </w:tr>
      <w:tr>
        <w:tc>
          <w:tcPr>
            <w:tcW w:type="dxa" w:w="2160"/>
          </w:tcPr>
          <w:p>
            <w:r>
              <w:t>Devon Holt</w:t>
            </w:r>
          </w:p>
        </w:tc>
        <w:tc>
          <w:tcPr>
            <w:tcW w:type="dxa" w:w="2160"/>
          </w:tcPr>
          <w:p>
            <w:r>
              <w:t>Sales Ops</w:t>
            </w:r>
          </w:p>
        </w:tc>
        <w:tc>
          <w:tcPr>
            <w:tcW w:type="dxa" w:w="2160"/>
          </w:tcPr>
          <w:p>
            <w:r>
              <w:t>Metric definitions</w:t>
            </w:r>
          </w:p>
        </w:tc>
        <w:tc>
          <w:tcPr>
            <w:tcW w:type="dxa" w:w="2160"/>
          </w:tcPr>
          <w:p>
            <w:r>
              <w:t>Sales rollups / Zone comparisons</w:t>
            </w:r>
          </w:p>
        </w:tc>
      </w:tr>
      <w:tr>
        <w:tc>
          <w:tcPr>
            <w:tcW w:type="dxa" w:w="2160"/>
          </w:tcPr>
          <w:p>
            <w:r>
              <w:t>Mina Shah</w:t>
            </w:r>
          </w:p>
        </w:tc>
        <w:tc>
          <w:tcPr>
            <w:tcW w:type="dxa" w:w="2160"/>
          </w:tcPr>
          <w:p>
            <w:r>
              <w:t>Regional Manager</w:t>
            </w:r>
          </w:p>
        </w:tc>
        <w:tc>
          <w:tcPr>
            <w:tcW w:type="dxa" w:w="2160"/>
          </w:tcPr>
          <w:p>
            <w:r>
              <w:t>Coaching priorities</w:t>
            </w:r>
          </w:p>
        </w:tc>
        <w:tc>
          <w:tcPr>
            <w:tcW w:type="dxa" w:w="2160"/>
          </w:tcPr>
          <w:p>
            <w:r>
              <w:t>Restaurant performance variance</w:t>
            </w:r>
          </w:p>
        </w:tc>
      </w:tr>
    </w:tbl>
    <w:p>
      <w:pPr>
        <w:pStyle w:val="Heading1"/>
      </w:pPr>
      <w:r>
        <w:t>KPIs (Dashboard terminology)</w:t>
      </w:r>
    </w:p>
    <w:p>
      <w:pPr>
        <w:pStyle w:val="ListBullet"/>
      </w:pPr>
      <w:r>
        <w:t>Restaurant ID</w:t>
      </w:r>
    </w:p>
    <w:p>
      <w:pPr>
        <w:pStyle w:val="ListBullet"/>
      </w:pPr>
      <w:r>
        <w:t>City</w:t>
      </w:r>
    </w:p>
    <w:p>
      <w:pPr>
        <w:pStyle w:val="ListBullet"/>
      </w:pPr>
      <w:r>
        <w:t>Zone</w:t>
      </w:r>
    </w:p>
    <w:p>
      <w:pPr>
        <w:pStyle w:val="ListBullet"/>
      </w:pPr>
      <w:r>
        <w:t>Month</w:t>
      </w:r>
    </w:p>
    <w:p>
      <w:pPr>
        <w:pStyle w:val="ListBullet"/>
      </w:pPr>
      <w:r>
        <w:t>Sales</w:t>
      </w:r>
    </w:p>
    <w:p>
      <w:pPr>
        <w:pStyle w:val="Heading1"/>
      </w:pPr>
      <w:r>
        <w:t>Scope</w:t>
      </w:r>
    </w:p>
    <w:p>
      <w:r>
        <w:t>In-scope: KPI definitions, dataset design, refresh rules, dashboard requirements, governance artifacts (stakeholders/RAID/traceability), and executive communication.</w:t>
      </w:r>
    </w:p>
    <w:p>
      <w:r>
        <w:t>Out-of-scope: platform replacements, contract negotiations, or upstream system re-architecture.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