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ubtitle"/>
      </w:pPr>
      <w:r>
        <w:t>ADVANCED WORD + EXCEL + PDF</w:t>
      </w:r>
    </w:p>
    <w:p>
      <w:pPr>
        <w:pStyle w:val="Title"/>
      </w:pPr>
      <w:r>
        <w:t>Professional Operations Portfolio</w:t>
      </w:r>
    </w:p>
    <w:p>
      <w:pPr>
        <w:spacing w:after="120"/>
      </w:pPr>
      <w:r>
        <w:t>Five fully documented simulated operational workflows plus an additional PDF production feature demonstration. Version 3.0 | October 27, 2026</w:t>
      </w:r>
    </w:p>
    <w:p>
      <w:pPr>
        <w:pStyle w:val="Heading1"/>
      </w:pPr>
      <w:r>
        <w:t>Start here: folder map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/>
        </w:trPr>
        <w:tc>
          <w:tcPr>
            <w:tcW w:type="dxa" w:w="2520"/>
            <w:shd w:fill="172946"/>
          </w:tcPr>
          <w:p>
            <w:r>
              <w:rPr>
                <w:b/>
                <w:color w:val="FFFFFF"/>
                <w:sz w:val="16"/>
              </w:rPr>
              <w:t>Folder</w:t>
            </w:r>
          </w:p>
        </w:tc>
        <w:tc>
          <w:tcPr>
            <w:tcW w:type="dxa" w:w="3816"/>
            <w:shd w:fill="172946"/>
          </w:tcPr>
          <w:p>
            <w:r>
              <w:rPr>
                <w:b/>
                <w:color w:val="FFFFFF"/>
                <w:sz w:val="16"/>
              </w:rPr>
              <w:t>What to show</w:t>
            </w:r>
          </w:p>
        </w:tc>
        <w:tc>
          <w:tcPr>
            <w:tcW w:type="dxa" w:w="3456"/>
            <w:shd w:fill="172946"/>
          </w:tcPr>
          <w:p>
            <w:r>
              <w:rPr>
                <w:b/>
                <w:color w:val="FFFFFF"/>
                <w:sz w:val="16"/>
              </w:rPr>
              <w:t>Key skill</w:t>
            </w:r>
          </w:p>
        </w:tc>
      </w:tr>
      <w:tr>
        <w:trPr>
          <w:cantSplit/>
        </w:trPr>
        <w:tc>
          <w:tcPr>
            <w:tcW w:type="dxa" w:w="3312"/>
          </w:tcPr>
          <w:p>
            <w:pPr>
              <w:spacing w:after="0"/>
            </w:pPr>
            <w:r>
              <w:rPr>
                <w:sz w:val="16"/>
              </w:rPr>
              <w:t>01 Data Entry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sz w:val="16"/>
              </w:rPr>
              <w:t>120-record expanded cycle + original 12 + Excel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sz w:val="16"/>
              </w:rPr>
              <w:t>Record entry, exception triage, mail merge</w:t>
            </w:r>
          </w:p>
        </w:tc>
      </w:tr>
      <w:tr>
        <w:trPr>
          <w:cantSplit/>
        </w:trPr>
        <w:tc>
          <w:tcPr>
            <w:tcW w:type="dxa" w:w="3312"/>
            <w:shd w:fill="EEF5F8"/>
          </w:tcPr>
          <w:p>
            <w:pPr>
              <w:spacing w:after="0"/>
            </w:pPr>
            <w:r>
              <w:rPr>
                <w:sz w:val="16"/>
              </w:rPr>
              <w:t>02 Transcription</w:t>
            </w:r>
          </w:p>
        </w:tc>
        <w:tc>
          <w:tcPr>
            <w:tcW w:type="dxa" w:w="3312"/>
            <w:shd w:fill="EEF5F8"/>
          </w:tcPr>
          <w:p>
            <w:pPr>
              <w:spacing w:after="0"/>
            </w:pPr>
            <w:r>
              <w:rPr>
                <w:sz w:val="16"/>
              </w:rPr>
              <w:t>19-turn WAV practice + 18 editorial defects</w:t>
            </w:r>
          </w:p>
        </w:tc>
        <w:tc>
          <w:tcPr>
            <w:tcW w:type="dxa" w:w="3312"/>
            <w:shd w:fill="EEF5F8"/>
          </w:tcPr>
          <w:p>
            <w:pPr>
              <w:spacing w:after="0"/>
            </w:pPr>
            <w:r>
              <w:rPr>
                <w:sz w:val="16"/>
              </w:rPr>
              <w:t>Listening, precise editing, minutes</w:t>
            </w:r>
          </w:p>
        </w:tc>
      </w:tr>
      <w:tr>
        <w:trPr>
          <w:cantSplit/>
        </w:trPr>
        <w:tc>
          <w:tcPr>
            <w:tcW w:type="dxa" w:w="3312"/>
          </w:tcPr>
          <w:p>
            <w:pPr>
              <w:spacing w:after="0"/>
            </w:pPr>
            <w:r>
              <w:rPr>
                <w:sz w:val="16"/>
              </w:rPr>
              <w:t>03 Billing/Payroll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sz w:val="16"/>
              </w:rPr>
              <w:t>24-invoice A/R close and gross payroll example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sz w:val="16"/>
              </w:rPr>
              <w:t>Ledger ties, credits, exception control</w:t>
            </w:r>
          </w:p>
        </w:tc>
      </w:tr>
      <w:tr>
        <w:trPr>
          <w:cantSplit/>
        </w:trPr>
        <w:tc>
          <w:tcPr>
            <w:tcW w:type="dxa" w:w="3312"/>
            <w:shd w:fill="EEF5F8"/>
          </w:tcPr>
          <w:p>
            <w:pPr>
              <w:spacing w:after="0"/>
            </w:pPr>
            <w:r>
              <w:rPr>
                <w:sz w:val="16"/>
              </w:rPr>
              <w:t>04 Health Information</w:t>
            </w:r>
          </w:p>
        </w:tc>
        <w:tc>
          <w:tcPr>
            <w:tcW w:type="dxa" w:w="3312"/>
            <w:shd w:fill="EEF5F8"/>
          </w:tcPr>
          <w:p>
            <w:pPr>
              <w:spacing w:after="0"/>
            </w:pPr>
            <w:r>
              <w:rPr>
                <w:sz w:val="16"/>
              </w:rPr>
              <w:t>12 synthetic cases + coding holds</w:t>
            </w:r>
          </w:p>
        </w:tc>
        <w:tc>
          <w:tcPr>
            <w:tcW w:type="dxa" w:w="3312"/>
            <w:shd w:fill="EEF5F8"/>
          </w:tcPr>
          <w:p>
            <w:pPr>
              <w:spacing w:after="0"/>
            </w:pPr>
            <w:r>
              <w:rPr>
                <w:sz w:val="16"/>
              </w:rPr>
              <w:t>Documentation quality, privacy</w:t>
            </w:r>
          </w:p>
        </w:tc>
      </w:tr>
      <w:tr>
        <w:trPr>
          <w:cantSplit/>
        </w:trPr>
        <w:tc>
          <w:tcPr>
            <w:tcW w:type="dxa" w:w="3312"/>
          </w:tcPr>
          <w:p>
            <w:pPr>
              <w:spacing w:after="0"/>
            </w:pPr>
            <w:r>
              <w:rPr>
                <w:sz w:val="16"/>
              </w:rPr>
              <w:t>05 Data Stewardship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sz w:val="16"/>
              </w:rPr>
              <w:t>480/462 lineage, governed decisions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sz w:val="16"/>
              </w:rPr>
              <w:t>Rule design, ownership and SQL</w:t>
            </w:r>
          </w:p>
        </w:tc>
      </w:tr>
      <w:tr>
        <w:trPr>
          <w:cantSplit/>
        </w:trPr>
        <w:tc>
          <w:tcPr>
            <w:tcW w:type="dxa" w:w="3312"/>
            <w:shd w:fill="EEF5F8"/>
          </w:tcPr>
          <w:p>
            <w:pPr>
              <w:spacing w:after="0"/>
            </w:pPr>
            <w:r>
              <w:rPr>
                <w:sz w:val="16"/>
              </w:rPr>
              <w:t>06 PDF Production</w:t>
            </w:r>
          </w:p>
        </w:tc>
        <w:tc>
          <w:tcPr>
            <w:tcW w:type="dxa" w:w="3312"/>
            <w:shd w:fill="EEF5F8"/>
          </w:tcPr>
          <w:p>
            <w:pPr>
              <w:spacing w:after="0"/>
            </w:pPr>
            <w:r>
              <w:rPr>
                <w:sz w:val="16"/>
              </w:rPr>
              <w:t>Interactive forms, flatten and redaction</w:t>
            </w:r>
          </w:p>
        </w:tc>
        <w:tc>
          <w:tcPr>
            <w:tcW w:type="dxa" w:w="3312"/>
            <w:shd w:fill="EEF5F8"/>
          </w:tcPr>
          <w:p>
            <w:pPr>
              <w:spacing w:after="0"/>
            </w:pPr>
            <w:r>
              <w:rPr>
                <w:sz w:val="16"/>
              </w:rPr>
              <w:t>PDF feature operations</w:t>
            </w:r>
          </w:p>
        </w:tc>
      </w:tr>
      <w:tr>
        <w:trPr>
          <w:cantSplit/>
        </w:trPr>
        <w:tc>
          <w:tcPr>
            <w:tcW w:type="dxa" w:w="3312"/>
          </w:tcPr>
          <w:p>
            <w:pPr>
              <w:spacing w:after="0"/>
            </w:pPr>
            <w:r>
              <w:rPr>
                <w:sz w:val="16"/>
              </w:rPr>
              <w:t>07 Evidence &amp; QA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sz w:val="16"/>
              </w:rPr>
              <w:t>Checklists, manifest and user instructions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sz w:val="16"/>
              </w:rPr>
              <w:t>Reproducible portfolio claims</w:t>
            </w:r>
          </w:p>
        </w:tc>
      </w:tr>
    </w:tbl>
    <w:p>
      <w:pPr>
        <w:spacing w:after="0"/>
      </w:pPr>
    </w:p>
    <w:p>
      <w:pPr>
        <w:pStyle w:val="Heading1"/>
      </w:pPr>
      <w:r>
        <w:t>Job role matching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/>
        </w:trPr>
        <w:tc>
          <w:tcPr>
            <w:tcW w:type="dxa" w:w="3312"/>
            <w:shd w:fill="172946"/>
          </w:tcPr>
          <w:p>
            <w:r>
              <w:rPr>
                <w:b/>
                <w:color w:val="FFFFFF"/>
                <w:sz w:val="16"/>
              </w:rPr>
              <w:t>Role family</w:t>
            </w:r>
          </w:p>
        </w:tc>
        <w:tc>
          <w:tcPr>
            <w:tcW w:type="dxa" w:w="6480"/>
            <w:shd w:fill="172946"/>
          </w:tcPr>
          <w:p>
            <w:r>
              <w:rPr>
                <w:b/>
                <w:color w:val="FFFFFF"/>
                <w:sz w:val="16"/>
              </w:rPr>
              <w:t>Best starting evidence</w:t>
            </w:r>
          </w:p>
        </w:tc>
      </w:tr>
      <w:tr>
        <w:trPr>
          <w:cantSplit/>
        </w:trPr>
        <w:tc>
          <w:tcPr>
            <w:tcW w:type="dxa" w:w="4968"/>
          </w:tcPr>
          <w:p>
            <w:pPr>
              <w:spacing w:after="0"/>
            </w:pPr>
            <w:r>
              <w:rPr>
                <w:sz w:val="16"/>
              </w:rPr>
              <w:t>Data Entry Clerk / Processor</w:t>
            </w:r>
          </w:p>
        </w:tc>
        <w:tc>
          <w:tcPr>
            <w:tcW w:type="dxa" w:w="4968"/>
          </w:tcPr>
          <w:p>
            <w:pPr>
              <w:spacing w:after="0"/>
            </w:pPr>
            <w:r>
              <w:rPr>
                <w:sz w:val="16"/>
              </w:rPr>
              <w:t>Customer 120-record workbook; approved master; exception register</w:t>
            </w:r>
          </w:p>
        </w:tc>
      </w:tr>
      <w:tr>
        <w:trPr>
          <w:cantSplit/>
        </w:trPr>
        <w:tc>
          <w:tcPr>
            <w:tcW w:type="dxa" w:w="4968"/>
            <w:shd w:fill="EEF5F8"/>
          </w:tcPr>
          <w:p>
            <w:pPr>
              <w:spacing w:after="0"/>
            </w:pPr>
            <w:r>
              <w:rPr>
                <w:sz w:val="16"/>
              </w:rPr>
              <w:t>Data Verification Specialist</w:t>
            </w:r>
          </w:p>
        </w:tc>
        <w:tc>
          <w:tcPr>
            <w:tcW w:type="dxa" w:w="4968"/>
            <w:shd w:fill="EEF5F8"/>
          </w:tcPr>
          <w:p>
            <w:pPr>
              <w:spacing w:after="0"/>
            </w:pPr>
            <w:r>
              <w:rPr>
                <w:sz w:val="16"/>
              </w:rPr>
              <w:t>Duplicate/invalid checks; source-to-master QA</w:t>
            </w:r>
          </w:p>
        </w:tc>
      </w:tr>
      <w:tr>
        <w:trPr>
          <w:cantSplit/>
        </w:trPr>
        <w:tc>
          <w:tcPr>
            <w:tcW w:type="dxa" w:w="4968"/>
          </w:tcPr>
          <w:p>
            <w:pPr>
              <w:spacing w:after="0"/>
            </w:pPr>
            <w:r>
              <w:rPr>
                <w:sz w:val="16"/>
              </w:rPr>
              <w:t>Word Processing Specialist / Typist</w:t>
            </w:r>
          </w:p>
        </w:tc>
        <w:tc>
          <w:tcPr>
            <w:tcW w:type="dxa" w:w="4968"/>
          </w:tcPr>
          <w:p>
            <w:pPr>
              <w:spacing w:after="0"/>
            </w:pPr>
            <w:r>
              <w:rPr>
                <w:sz w:val="16"/>
              </w:rPr>
              <w:t>Audio practice, transcript, styles, PDF export, forms</w:t>
            </w:r>
          </w:p>
        </w:tc>
      </w:tr>
      <w:tr>
        <w:trPr>
          <w:cantSplit/>
        </w:trPr>
        <w:tc>
          <w:tcPr>
            <w:tcW w:type="dxa" w:w="4968"/>
            <w:shd w:fill="EEF5F8"/>
          </w:tcPr>
          <w:p>
            <w:pPr>
              <w:spacing w:after="0"/>
            </w:pPr>
            <w:r>
              <w:rPr>
                <w:sz w:val="16"/>
              </w:rPr>
              <w:t>Billing / Payroll Clerk</w:t>
            </w:r>
          </w:p>
        </w:tc>
        <w:tc>
          <w:tcPr>
            <w:tcW w:type="dxa" w:w="4968"/>
            <w:shd w:fill="EEF5F8"/>
          </w:tcPr>
          <w:p>
            <w:pPr>
              <w:spacing w:after="0"/>
            </w:pPr>
            <w:r>
              <w:rPr>
                <w:sz w:val="16"/>
              </w:rPr>
              <w:t>A/R 24-invoice reconciliation; gross pay controls and holds</w:t>
            </w:r>
          </w:p>
        </w:tc>
      </w:tr>
      <w:tr>
        <w:trPr>
          <w:cantSplit/>
        </w:trPr>
        <w:tc>
          <w:tcPr>
            <w:tcW w:type="dxa" w:w="4968"/>
          </w:tcPr>
          <w:p>
            <w:pPr>
              <w:spacing w:after="0"/>
            </w:pPr>
            <w:r>
              <w:rPr>
                <w:sz w:val="16"/>
              </w:rPr>
              <w:t>Health Information Technician / Coding trainee</w:t>
            </w:r>
          </w:p>
        </w:tc>
        <w:tc>
          <w:tcPr>
            <w:tcW w:type="dxa" w:w="4968"/>
          </w:tcPr>
          <w:p>
            <w:pPr>
              <w:spacing w:after="0"/>
            </w:pPr>
            <w:r>
              <w:rPr>
                <w:sz w:val="16"/>
              </w:rPr>
              <w:t>Clinical documentation QA and six new unsigned/uncertain cases</w:t>
            </w:r>
          </w:p>
        </w:tc>
      </w:tr>
      <w:tr>
        <w:trPr>
          <w:cantSplit/>
        </w:trPr>
        <w:tc>
          <w:tcPr>
            <w:tcW w:type="dxa" w:w="4968"/>
            <w:shd w:fill="EEF5F8"/>
          </w:tcPr>
          <w:p>
            <w:pPr>
              <w:spacing w:after="0"/>
            </w:pPr>
            <w:r>
              <w:rPr>
                <w:sz w:val="16"/>
              </w:rPr>
              <w:t>Data Steward</w:t>
            </w:r>
          </w:p>
        </w:tc>
        <w:tc>
          <w:tcPr>
            <w:tcW w:type="dxa" w:w="4968"/>
            <w:shd w:fill="EEF5F8"/>
          </w:tcPr>
          <w:p>
            <w:pPr>
              <w:spacing w:after="0"/>
            </w:pPr>
            <w:r>
              <w:rPr>
                <w:sz w:val="16"/>
              </w:rPr>
              <w:t>480-to-462 lineage, matching decisions, rule catalog</w:t>
            </w:r>
          </w:p>
        </w:tc>
      </w:tr>
    </w:tbl>
    <w:p>
      <w:pPr>
        <w:spacing w:after="0"/>
      </w:pPr>
    </w:p>
    <w:p>
      <w:pPr>
        <w:pStyle w:val="Heading1"/>
      </w:pPr>
      <w:r>
        <w:t>Important scope and honesty</w:t>
      </w:r>
    </w:p>
    <w:p>
      <w:pPr>
        <w:pStyle w:val="ListBullet"/>
        <w:spacing w:after="60"/>
      </w:pPr>
      <w:r>
        <w:t>All customer, employee, patient, and business identities are synthetic. This package is a demonstration portfolio, not past employment work.</w:t>
      </w:r>
    </w:p>
    <w:p>
      <w:pPr>
        <w:pStyle w:val="ListBullet"/>
        <w:spacing w:after="60"/>
      </w:pPr>
      <w:r>
        <w:t>You should personally complete the attached practical exercises before claiming measurable typing speed, transcription accuracy, or dataset processing efficiency.</w:t>
      </w:r>
    </w:p>
    <w:p>
      <w:pPr>
        <w:pStyle w:val="ListBullet"/>
        <w:spacing w:after="60"/>
      </w:pPr>
      <w:r>
        <w:t>Medical coding cases are instructional; they do not replace accreditation, credentials, supervised coding, or payer-specific verification.</w:t>
      </w:r>
    </w:p>
    <w:p>
      <w:pPr>
        <w:pStyle w:val="ListBullet"/>
        <w:spacing w:after="60"/>
      </w:pPr>
      <w:r>
        <w:t>Payroll is gross-pay education only; deductions, taxes, and legal payroll compliance are excluded.</w:t>
      </w:r>
    </w:p>
    <w:p>
      <w:pPr>
        <w:pStyle w:val="ListBullet"/>
        <w:spacing w:after="60"/>
      </w:pPr>
      <w:r>
        <w:t>PDF files are tested for basic features; no formal PDF/A or PDF/UA certification is asserted.</w:t>
      </w:r>
    </w:p>
    <w:p>
      <w:pPr>
        <w:pStyle w:val="Heading1"/>
      </w:pPr>
      <w:r>
        <w:t>How to present these files to a hiring manager</w:t>
      </w:r>
    </w:p>
    <w:p>
      <w:pPr>
        <w:pStyle w:val="ListBullet"/>
        <w:spacing w:after="60"/>
      </w:pPr>
      <w:r>
        <w:t>Lead with your strongest relevant project and show the problem, input, controls, final output, and open exceptions.</w:t>
      </w:r>
    </w:p>
    <w:p>
      <w:pPr>
        <w:pStyle w:val="ListBullet"/>
        <w:spacing w:after="60"/>
      </w:pPr>
      <w:r>
        <w:t>Demonstrate a live workbook formula and explain how an invalid record changes the decision.</w:t>
      </w:r>
    </w:p>
    <w:p>
      <w:pPr>
        <w:pStyle w:val="ListBullet"/>
        <w:spacing w:after="60"/>
      </w:pPr>
      <w:r>
        <w:t>Open the PDF form in a viewer that supports Adobe-style forms; show a filled copy, then a flattened one.</w:t>
      </w:r>
    </w:p>
    <w:p>
      <w:pPr>
        <w:pStyle w:val="ListBullet"/>
        <w:spacing w:after="60"/>
      </w:pPr>
      <w:r>
        <w:t>Point out that the source values are fictional and the results are audited simulations.</w:t>
      </w:r>
    </w:p>
    <w:p>
      <w:pPr>
        <w:pStyle w:val="ListBullet"/>
        <w:spacing w:after="60"/>
      </w:pPr>
      <w:r>
        <w:t>For medical roles, emphasize documentation accuracy, coding hold judgment and the need for official-code review.</w:t>
      </w:r>
    </w:p>
    <w:sectPr w:rsidR="00FC693F" w:rsidRPr="0006063C" w:rsidSect="00034616">
      <w:footerReference w:type="default" r:id="rId9"/>
      <w:pgSz w:w="12240" w:h="15840"/>
      <w:pgMar w:top="1152" w:right="1152" w:bottom="1008" w:left="1152" w:header="403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26177"/>
        <w:sz w:val="14"/>
      </w:rPr>
      <w:t>SYNTHETIC TRAINING MATERIAL  •  NO REAL CLIENT, PATIENT, OR EMPLOYER RECORDS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