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263F"/>
          <w:sz w:val="40"/>
        </w:rPr>
        <w:t>Advanced Word | Operations Portfolio</w:t>
      </w:r>
    </w:p>
    <w:p>
      <w:pPr>
        <w:pStyle w:val="Subtitle"/>
      </w:pPr>
      <w:r>
        <w:t>EVIDENCE EDITION   •   5 simulated workplace case studies   •   prepared 27 Oct 2026</w:t>
      </w:r>
    </w:p>
    <w:p>
      <w:r>
        <w:rPr>
          <w:b w:val="0"/>
        </w:rPr>
        <w:t>Prepared for: Jamie Christian II   |   Version 2.0   |   Document status: Independent training / portfolio demonstration</w:t>
      </w:r>
    </w:p>
    <w:p>
      <w:r>
        <w:rPr>
          <w:b w:val="0"/>
        </w:rPr>
        <w:t>This package includes full Word deliverables, fictional source files, completed work outputs, repeatable control checks, mail-merge fields, a protected demonstration copy, and a simulated audio exercise. It does not claim real employment, independent human typing scores, or professional certification.</w:t>
      </w:r>
    </w:p>
    <w:p>
      <w:pPr>
        <w:pStyle w:val="Heading2"/>
      </w:pPr>
      <w:r>
        <w:t>Portfolio contents (auto-updating Word field)</w:t>
      </w:r>
    </w:p>
    <w:p>
      <w:r>
        <w:fldChar w:fldCharType="begin"/>
      </w:r>
      <w:r>
        <w:instrText xml:space="preserve"> TOC \o "1-2" \h \z \u </w:instrText>
      </w:r>
      <w:r>
        <w:fldChar w:fldCharType="separate"/>
      </w:r>
      <w:r>
        <w:t>Right-click &gt; Update Field to build the table of contents in desktop Microsoft Word.</w:t>
      </w:r>
      <w:r>
        <w:fldChar w:fldCharType="end"/>
      </w:r>
    </w:p>
    <w:p>
      <w:pPr>
        <w:pStyle w:val="Heading1"/>
      </w:pPr>
      <w:r>
        <w:t>Job-role coverage and recommended case studies</w:t>
      </w:r>
    </w:p>
    <w:tbl>
      <w:tblPr>
        <w:tblW w:type="auto" w:w="0"/>
        <w:tblLayout w:type="fixed"/>
        <w:tblLook w:firstColumn="1" w:firstRow="1" w:lastColumn="0" w:lastRow="0" w:noHBand="0" w:noVBand="1" w:val="04A0"/>
      </w:tblPr>
      <w:tblGrid>
        <w:gridCol w:w="3816"/>
        <w:gridCol w:w="5976"/>
      </w:tblGrid>
      <w:tr>
        <w:trPr>
          <w:tblHeader w:val="true"/>
        </w:trPr>
        <w:tc>
          <w:tcPr>
            <w:tcW w:type="dxa" w:w="4882"/>
            <w:vAlign w:val="center"/>
            <w:shd w:fill="16263F"/>
          </w:tcPr>
          <w:p>
            <w:r>
              <w:rPr>
                <w:b/>
                <w:color w:val="FFFFFF"/>
                <w:sz w:val="16"/>
              </w:rPr>
              <w:t>Target role family</w:t>
            </w:r>
          </w:p>
        </w:tc>
        <w:tc>
          <w:tcPr>
            <w:tcW w:type="dxa" w:w="4882"/>
            <w:vAlign w:val="center"/>
            <w:shd w:fill="16263F"/>
          </w:tcPr>
          <w:p>
            <w:r>
              <w:rPr>
                <w:b/>
                <w:color w:val="FFFFFF"/>
                <w:sz w:val="16"/>
              </w:rPr>
              <w:t>Best portfolio evidence</w:t>
            </w:r>
          </w:p>
        </w:tc>
      </w:tr>
      <w:tr>
        <w:trPr>
          <w:cantSplit/>
        </w:trPr>
        <w:tc>
          <w:tcPr>
            <w:tcW w:type="dxa" w:w="3816"/>
          </w:tcPr>
          <w:p>
            <w:pPr>
              <w:spacing w:after="0"/>
            </w:pPr>
            <w:r>
              <w:rPr>
                <w:sz w:val="15"/>
              </w:rPr>
              <w:t>Data Entry / Data Verification / Data Processor</w:t>
            </w:r>
          </w:p>
        </w:tc>
        <w:tc>
          <w:tcPr>
            <w:tcW w:type="dxa" w:w="5976"/>
          </w:tcPr>
          <w:p>
            <w:pPr>
              <w:spacing w:after="0"/>
            </w:pPr>
            <w:r>
              <w:rPr>
                <w:sz w:val="15"/>
              </w:rPr>
              <w:t>Project 01 clean master, 12 raw source rows, 3 exceptions, nine-letter mail merge</w:t>
            </w:r>
          </w:p>
        </w:tc>
      </w:tr>
      <w:tr>
        <w:trPr>
          <w:cantSplit/>
        </w:trPr>
        <w:tc>
          <w:tcPr>
            <w:tcW w:type="dxa" w:w="3816"/>
            <w:shd w:fill="F3F6FA"/>
          </w:tcPr>
          <w:p>
            <w:pPr>
              <w:spacing w:after="0"/>
            </w:pPr>
            <w:r>
              <w:rPr>
                <w:sz w:val="15"/>
              </w:rPr>
              <w:t>Typist / Transcriptionist / Word Processing</w:t>
            </w:r>
          </w:p>
        </w:tc>
        <w:tc>
          <w:tcPr>
            <w:tcW w:type="dxa" w:w="5976"/>
            <w:shd w:fill="F3F6FA"/>
          </w:tcPr>
          <w:p>
            <w:pPr>
              <w:spacing w:after="0"/>
            </w:pPr>
            <w:r>
              <w:rPr>
                <w:sz w:val="15"/>
              </w:rPr>
              <w:t>Project 02 playable synthetic audio, 19-turn transcript, minutes; Word templates</w:t>
            </w:r>
          </w:p>
        </w:tc>
      </w:tr>
      <w:tr>
        <w:trPr>
          <w:cantSplit/>
        </w:trPr>
        <w:tc>
          <w:tcPr>
            <w:tcW w:type="dxa" w:w="3816"/>
          </w:tcPr>
          <w:p>
            <w:pPr>
              <w:spacing w:after="0"/>
            </w:pPr>
            <w:r>
              <w:rPr>
                <w:sz w:val="15"/>
              </w:rPr>
              <w:t>Billing / Payroll Clerk</w:t>
            </w:r>
          </w:p>
        </w:tc>
        <w:tc>
          <w:tcPr>
            <w:tcW w:type="dxa" w:w="5976"/>
          </w:tcPr>
          <w:p>
            <w:pPr>
              <w:spacing w:after="0"/>
            </w:pPr>
            <w:r>
              <w:rPr>
                <w:sz w:val="15"/>
              </w:rPr>
              <w:t>Project 03 8 service lines, 4 posted transactions, 5 approved timecards</w:t>
            </w:r>
          </w:p>
        </w:tc>
      </w:tr>
      <w:tr>
        <w:trPr>
          <w:cantSplit/>
        </w:trPr>
        <w:tc>
          <w:tcPr>
            <w:tcW w:type="dxa" w:w="3816"/>
            <w:shd w:fill="F3F6FA"/>
          </w:tcPr>
          <w:p>
            <w:pPr>
              <w:spacing w:after="0"/>
            </w:pPr>
            <w:r>
              <w:rPr>
                <w:sz w:val="15"/>
              </w:rPr>
              <w:t>Health Information / Medical Coder</w:t>
            </w:r>
          </w:p>
        </w:tc>
        <w:tc>
          <w:tcPr>
            <w:tcW w:type="dxa" w:w="5976"/>
            <w:shd w:fill="F3F6FA"/>
          </w:tcPr>
          <w:p>
            <w:pPr>
              <w:spacing w:after="0"/>
            </w:pPr>
            <w:r>
              <w:rPr>
                <w:sz w:val="15"/>
              </w:rPr>
              <w:t>Project 04 6 synthetic encounters; supported codes vs explicit holds</w:t>
            </w:r>
          </w:p>
        </w:tc>
      </w:tr>
      <w:tr>
        <w:trPr>
          <w:cantSplit/>
        </w:trPr>
        <w:tc>
          <w:tcPr>
            <w:tcW w:type="dxa" w:w="3816"/>
          </w:tcPr>
          <w:p>
            <w:pPr>
              <w:spacing w:after="0"/>
            </w:pPr>
            <w:r>
              <w:rPr>
                <w:sz w:val="15"/>
              </w:rPr>
              <w:t>Data Steward / Governance</w:t>
            </w:r>
          </w:p>
        </w:tc>
        <w:tc>
          <w:tcPr>
            <w:tcW w:type="dxa" w:w="5976"/>
          </w:tcPr>
          <w:p>
            <w:pPr>
              <w:spacing w:after="0"/>
            </w:pPr>
            <w:r>
              <w:rPr>
                <w:sz w:val="15"/>
              </w:rPr>
              <w:t>Project 05 480-row input, 462-row golden master, 27 pair decisions</w:t>
            </w:r>
          </w:p>
        </w:tc>
      </w:tr>
    </w:tbl>
    <w:p>
      <w:pPr>
        <w:spacing w:after="0"/>
      </w:pPr>
    </w:p>
    <w:p>
      <w:pPr>
        <w:pStyle w:val="Heading1"/>
      </w:pPr>
      <w:r>
        <w:t>Word skills demonstrated</w:t>
      </w:r>
    </w:p>
    <w:p>
      <w:pPr>
        <w:pStyle w:val="ListBullet"/>
        <w:spacing w:after="60"/>
      </w:pPr>
      <w:r>
        <w:t>Styles and hierarchy: multilevel headings and consistently styled tables; repeating header rows and page numbering.</w:t>
      </w:r>
    </w:p>
    <w:p>
      <w:pPr>
        <w:pStyle w:val="ListBullet"/>
        <w:spacing w:after="60"/>
      </w:pPr>
      <w:r>
        <w:t>Advanced fields: true MERGEFIELD recipient data in the mail-merge master and a TOC field in this guide.</w:t>
      </w:r>
    </w:p>
    <w:p>
      <w:pPr>
        <w:pStyle w:val="ListBullet"/>
        <w:spacing w:after="60"/>
      </w:pPr>
      <w:r>
        <w:t>Change control: source versus target records, exception disposition, handoff and approval evidence.</w:t>
      </w:r>
    </w:p>
    <w:p>
      <w:pPr>
        <w:pStyle w:val="ListBullet"/>
        <w:spacing w:after="60"/>
      </w:pPr>
      <w:r>
        <w:t>Reusable forms: editable change-request template plus a passwordless, read-only Word restriction demonstration.</w:t>
      </w:r>
    </w:p>
    <w:p>
      <w:pPr>
        <w:pStyle w:val="ListBullet"/>
        <w:spacing w:after="60"/>
      </w:pPr>
      <w:r>
        <w:t>Document production: separate raw transcription, clean transcript, meeting minutes, correspondence and audit documents.</w:t>
      </w:r>
    </w:p>
    <w:p>
      <w:pPr>
        <w:pStyle w:val="Heading1"/>
      </w:pPr>
      <w:r>
        <w:t>Objective test rubric</w:t>
      </w:r>
    </w:p>
    <w:tbl>
      <w:tblPr>
        <w:tblW w:type="auto" w:w="0"/>
        <w:tblLayout w:type="fixed"/>
        <w:tblLook w:firstColumn="1" w:firstRow="1" w:lastColumn="0" w:lastRow="0" w:noHBand="0" w:noVBand="1" w:val="04A0"/>
      </w:tblPr>
      <w:tblGrid>
        <w:gridCol w:w="2232"/>
        <w:gridCol w:w="3672"/>
        <w:gridCol w:w="3888"/>
      </w:tblGrid>
      <w:tr>
        <w:trPr>
          <w:tblHeader w:val="true"/>
        </w:trPr>
        <w:tc>
          <w:tcPr>
            <w:tcW w:type="dxa" w:w="3255"/>
            <w:vAlign w:val="center"/>
            <w:shd w:fill="16263F"/>
          </w:tcPr>
          <w:p>
            <w:r>
              <w:rPr>
                <w:b/>
                <w:color w:val="FFFFFF"/>
                <w:sz w:val="16"/>
              </w:rPr>
              <w:t>Test</w:t>
            </w:r>
          </w:p>
        </w:tc>
        <w:tc>
          <w:tcPr>
            <w:tcW w:type="dxa" w:w="3255"/>
            <w:vAlign w:val="center"/>
            <w:shd w:fill="16263F"/>
          </w:tcPr>
          <w:p>
            <w:r>
              <w:rPr>
                <w:b/>
                <w:color w:val="FFFFFF"/>
                <w:sz w:val="16"/>
              </w:rPr>
              <w:t>Passing threshold</w:t>
            </w:r>
          </w:p>
        </w:tc>
        <w:tc>
          <w:tcPr>
            <w:tcW w:type="dxa" w:w="3255"/>
            <w:vAlign w:val="center"/>
            <w:shd w:fill="16263F"/>
          </w:tcPr>
          <w:p>
            <w:r>
              <w:rPr>
                <w:b/>
                <w:color w:val="FFFFFF"/>
                <w:sz w:val="16"/>
              </w:rPr>
              <w:t>Evidence</w:t>
            </w:r>
          </w:p>
        </w:tc>
      </w:tr>
      <w:tr>
        <w:trPr>
          <w:cantSplit/>
        </w:trPr>
        <w:tc>
          <w:tcPr>
            <w:tcW w:type="dxa" w:w="2232"/>
          </w:tcPr>
          <w:p>
            <w:pPr>
              <w:spacing w:after="0"/>
            </w:pPr>
            <w:r>
              <w:rPr>
                <w:sz w:val="15"/>
              </w:rPr>
              <w:t>Data validation</w:t>
            </w:r>
          </w:p>
        </w:tc>
        <w:tc>
          <w:tcPr>
            <w:tcW w:type="dxa" w:w="3672"/>
          </w:tcPr>
          <w:p>
            <w:pPr>
              <w:spacing w:after="0"/>
            </w:pPr>
            <w:r>
              <w:rPr>
                <w:sz w:val="15"/>
              </w:rPr>
              <w:t>12/12 classified; 9/9 final emails unique</w:t>
            </w:r>
          </w:p>
        </w:tc>
        <w:tc>
          <w:tcPr>
            <w:tcW w:type="dxa" w:w="3888"/>
          </w:tcPr>
          <w:p>
            <w:pPr>
              <w:spacing w:after="0"/>
            </w:pPr>
            <w:r>
              <w:rPr>
                <w:sz w:val="15"/>
              </w:rPr>
              <w:t>Project 01 input and output CSV</w:t>
            </w:r>
          </w:p>
        </w:tc>
      </w:tr>
      <w:tr>
        <w:trPr>
          <w:cantSplit/>
        </w:trPr>
        <w:tc>
          <w:tcPr>
            <w:tcW w:type="dxa" w:w="2232"/>
            <w:shd w:fill="F3F6FA"/>
          </w:tcPr>
          <w:p>
            <w:pPr>
              <w:spacing w:after="0"/>
            </w:pPr>
            <w:r>
              <w:rPr>
                <w:sz w:val="15"/>
              </w:rPr>
              <w:t>Transcription reproduction</w:t>
            </w:r>
          </w:p>
        </w:tc>
        <w:tc>
          <w:tcPr>
            <w:tcW w:type="dxa" w:w="3672"/>
            <w:shd w:fill="F3F6FA"/>
          </w:tcPr>
          <w:p>
            <w:pPr>
              <w:spacing w:after="0"/>
            </w:pPr>
            <w:r>
              <w:rPr>
                <w:sz w:val="15"/>
              </w:rPr>
              <w:t>19/19 speaker turns and 4/4 action owners</w:t>
            </w:r>
          </w:p>
        </w:tc>
        <w:tc>
          <w:tcPr>
            <w:tcW w:type="dxa" w:w="3888"/>
            <w:shd w:fill="F3F6FA"/>
          </w:tcPr>
          <w:p>
            <w:pPr>
              <w:spacing w:after="0"/>
            </w:pPr>
            <w:r>
              <w:rPr>
                <w:sz w:val="15"/>
              </w:rPr>
              <w:t>Project 02 audio + reference + blank doc</w:t>
            </w:r>
          </w:p>
        </w:tc>
      </w:tr>
      <w:tr>
        <w:trPr>
          <w:cantSplit/>
        </w:trPr>
        <w:tc>
          <w:tcPr>
            <w:tcW w:type="dxa" w:w="2232"/>
          </w:tcPr>
          <w:p>
            <w:pPr>
              <w:spacing w:after="0"/>
            </w:pPr>
            <w:r>
              <w:rPr>
                <w:sz w:val="15"/>
              </w:rPr>
              <w:t>Finance arithmetic</w:t>
            </w:r>
          </w:p>
        </w:tc>
        <w:tc>
          <w:tcPr>
            <w:tcW w:type="dxa" w:w="3672"/>
          </w:tcPr>
          <w:p>
            <w:pPr>
              <w:spacing w:after="0"/>
            </w:pPr>
            <w:r>
              <w:rPr>
                <w:sz w:val="15"/>
              </w:rPr>
              <w:t>Zero-cent A/R difference; all 5 gross pays agree</w:t>
            </w:r>
          </w:p>
        </w:tc>
        <w:tc>
          <w:tcPr>
            <w:tcW w:type="dxa" w:w="3888"/>
          </w:tcPr>
          <w:p>
            <w:pPr>
              <w:spacing w:after="0"/>
            </w:pPr>
            <w:r>
              <w:rPr>
                <w:sz w:val="15"/>
              </w:rPr>
              <w:t>Project 03 raw ledger and corrected register</w:t>
            </w:r>
          </w:p>
        </w:tc>
      </w:tr>
      <w:tr>
        <w:trPr>
          <w:cantSplit/>
        </w:trPr>
        <w:tc>
          <w:tcPr>
            <w:tcW w:type="dxa" w:w="2232"/>
            <w:shd w:fill="F3F6FA"/>
          </w:tcPr>
          <w:p>
            <w:pPr>
              <w:spacing w:after="0"/>
            </w:pPr>
            <w:r>
              <w:rPr>
                <w:sz w:val="15"/>
              </w:rPr>
              <w:t>Health coding judgment</w:t>
            </w:r>
          </w:p>
        </w:tc>
        <w:tc>
          <w:tcPr>
            <w:tcW w:type="dxa" w:w="3672"/>
            <w:shd w:fill="F3F6FA"/>
          </w:tcPr>
          <w:p>
            <w:pPr>
              <w:spacing w:after="0"/>
            </w:pPr>
            <w:r>
              <w:rPr>
                <w:sz w:val="15"/>
              </w:rPr>
              <w:t>Never treat tentative outpatient dx as established</w:t>
            </w:r>
          </w:p>
        </w:tc>
        <w:tc>
          <w:tcPr>
            <w:tcW w:type="dxa" w:w="3888"/>
            <w:shd w:fill="F3F6FA"/>
          </w:tcPr>
          <w:p>
            <w:pPr>
              <w:spacing w:after="0"/>
            </w:pPr>
            <w:r>
              <w:rPr>
                <w:sz w:val="15"/>
              </w:rPr>
              <w:t>Project 04 holds and provider query</w:t>
            </w:r>
          </w:p>
        </w:tc>
      </w:tr>
      <w:tr>
        <w:trPr>
          <w:cantSplit/>
        </w:trPr>
        <w:tc>
          <w:tcPr>
            <w:tcW w:type="dxa" w:w="2232"/>
          </w:tcPr>
          <w:p>
            <w:pPr>
              <w:spacing w:after="0"/>
            </w:pPr>
            <w:r>
              <w:rPr>
                <w:sz w:val="15"/>
              </w:rPr>
              <w:t>Stewardship repeatability</w:t>
            </w:r>
          </w:p>
        </w:tc>
        <w:tc>
          <w:tcPr>
            <w:tcW w:type="dxa" w:w="3672"/>
          </w:tcPr>
          <w:p>
            <w:pPr>
              <w:spacing w:after="0"/>
            </w:pPr>
            <w:r>
              <w:rPr>
                <w:sz w:val="15"/>
              </w:rPr>
              <w:t>480 = 462 + 18; 27 candidate decisions logged</w:t>
            </w:r>
          </w:p>
        </w:tc>
        <w:tc>
          <w:tcPr>
            <w:tcW w:type="dxa" w:w="3888"/>
          </w:tcPr>
          <w:p>
            <w:pPr>
              <w:spacing w:after="0"/>
            </w:pPr>
            <w:r>
              <w:rPr>
                <w:sz w:val="15"/>
              </w:rPr>
              <w:t>Project 05 data CSVs and decision ledger</w:t>
            </w:r>
          </w:p>
        </w:tc>
      </w:tr>
    </w:tbl>
    <w:p>
      <w:pPr>
        <w:spacing w:after="0"/>
      </w:pPr>
    </w:p>
    <w:p>
      <w:pPr>
        <w:pStyle w:val="Heading1"/>
      </w:pPr>
      <w:r>
        <w:t>How to present this work in interviews</w:t>
      </w:r>
    </w:p>
    <w:p>
      <w:pPr>
        <w:pStyle w:val="ListBullet"/>
        <w:spacing w:after="60"/>
      </w:pPr>
      <w:r>
        <w:t>Introduce it explicitly as an independent simulated operations project—not employment or client experience.</w:t>
      </w:r>
    </w:p>
    <w:p>
      <w:pPr>
        <w:pStyle w:val="ListBullet"/>
        <w:spacing w:after="60"/>
      </w:pPr>
      <w:r>
        <w:t>Show one raw source and the corresponding final document, then explain an exception that you refused to silently correct.</w:t>
      </w:r>
    </w:p>
    <w:p>
      <w:pPr>
        <w:pStyle w:val="ListBullet"/>
        <w:spacing w:after="60"/>
      </w:pPr>
      <w:r>
        <w:t>For a Word-heavy role, use the mail-merge master and generate a new batch live from the supplied CSV.</w:t>
      </w:r>
    </w:p>
    <w:p>
      <w:pPr>
        <w:pStyle w:val="ListBullet"/>
        <w:spacing w:after="60"/>
      </w:pPr>
      <w:r>
        <w:t>For transcription, use the WAV for a real practice test and report ONLY your own independently measured results.</w:t>
      </w:r>
    </w:p>
    <w:p>
      <w:pPr>
        <w:pStyle w:val="ListBullet"/>
        <w:spacing w:after="60"/>
      </w:pPr>
      <w:r>
        <w:t>For finance, articulate authorization boundaries: gross-only pay and no simulated payment release.</w:t>
      </w:r>
    </w:p>
    <w:p>
      <w:pPr>
        <w:pStyle w:val="ListBullet"/>
        <w:spacing w:after="60"/>
      </w:pPr>
      <w:r>
        <w:t>For medical coding, identify your credential/training honestly and explain why unsigned or tentative diagnoses are held.</w:t>
      </w:r>
    </w:p>
    <w:p>
      <w:pPr>
        <w:pStyle w:val="ListBullet"/>
        <w:spacing w:after="60"/>
      </w:pPr>
      <w:r>
        <w:t>For stewardship, recalculate completeness from the 462-row master and discuss failing control thresholds.</w:t>
      </w:r>
    </w:p>
    <w:p>
      <w:pPr>
        <w:pStyle w:val="Heading1"/>
      </w:pPr>
      <w:r>
        <w:t>Limitations and evidence integrity</w:t>
      </w:r>
    </w:p>
    <w:p>
      <w:r>
        <w:rPr>
          <w:b w:val="0"/>
        </w:rPr>
        <w:t>All names, businesses, medical encounters and financial items are invented. TTS audio is a generated training exercise and does not authenticate human performance. The medical coding examples are limited in scope, require qualified independent review before production, and do not imply certification. Payroll calculations use an intentionally simplified federal baseline and do not authorize payments. A simulated work product cannot guarantee employment or competence in a regulated field.</w:t>
      </w:r>
    </w:p>
    <w:p>
      <w:pPr>
        <w:pStyle w:val="Heading1"/>
      </w:pPr>
      <w:r>
        <w:t>Official references and versioning</w:t>
      </w:r>
    </w:p>
    <w:p>
      <w:r>
        <w:rPr>
          <w:b w:val="0"/>
        </w:rPr>
        <w:t>Medical FY 2027 guidance: https://www.cms.gov/files/document/fy-2027-icd-10-cm-coding-guidelines.pdf</w:t>
      </w:r>
    </w:p>
    <w:p>
      <w:r>
        <w:rPr>
          <w:b w:val="0"/>
        </w:rPr>
        <w:t>CDC ICD-10-CM files: https://www.cdc.gov/nchs/icd/icd-10-cm/files.html</w:t>
      </w:r>
    </w:p>
    <w:p>
      <w:r>
        <w:rPr>
          <w:b w:val="0"/>
        </w:rPr>
        <w:t>U.S. DOL overtime rules: https://www.dol.gov/agencies/whd/overtime</w:t>
      </w:r>
    </w:p>
    <w:sectPr w:rsidR="00FC693F" w:rsidRPr="0006063C" w:rsidSect="00034616">
      <w:pgSz w:w="12240" w:h="15840"/>
      <w:pgMar w:top="1094" w:right="1238" w:bottom="93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