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/>
      </w:pPr>
      <w:r>
        <w:rPr>
          <w:rFonts w:ascii="Aptos" w:hAnsi="Aptos"/>
          <w:b/>
          <w:color w:val="087D8C"/>
          <w:sz w:val="22"/>
        </w:rPr>
        <w:t>CASE STUDY  01  /  05</w:t>
      </w:r>
    </w:p>
    <w:p>
      <w:pPr>
        <w:pStyle w:val="Title"/>
      </w:pPr>
      <w:r>
        <w:t>Customer Intake &amp; Verification</w:t>
      </w:r>
    </w:p>
    <w:p>
      <w:pPr>
        <w:spacing w:after="340"/>
      </w:pPr>
      <w:r>
        <w:rPr>
          <w:rFonts w:ascii="Aptos" w:hAnsi="Aptos"/>
          <w:color w:val="4C5D72"/>
          <w:sz w:val="24"/>
        </w:rPr>
        <w:t>Advanced Word operations packet  •  source-to-master reconciliation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64"/>
      </w:tblGrid>
      <w:tr>
        <w:tc>
          <w:tcPr>
            <w:tcW w:type="dxa" w:w="9994"/>
            <w:shd w:fill="EAF3F5"/>
            <w:tcMar>
              <w:top w:w="160" w:type="dxa"/>
              <w:start w:w="190" w:type="dxa"/>
              <w:bottom w:w="150" w:type="dxa"/>
              <w:end w:w="190" w:type="dxa"/>
            </w:tcMar>
          </w:tcPr>
          <w:p>
            <w:r>
              <w:rPr>
                <w:rFonts w:ascii="Aptos" w:hAnsi="Aptos"/>
                <w:b/>
                <w:color w:val="087D8C"/>
                <w:sz w:val="16"/>
              </w:rPr>
              <w:t>BUSINESS SCENARIO</w:t>
            </w:r>
          </w:p>
          <w:p>
            <w:pPr>
              <w:spacing w:after="100"/>
            </w:pPr>
            <w:r>
              <w:t>An operations shared-services team receives 12 customer onboarding forms from a sales queue. The inputs have inconsistent casing, duplicate entities, and one missing required field. The specialist must normalize data without silently inventing values and publish a traceable accepted-record register.</w:t>
            </w:r>
          </w:p>
          <w:p>
            <w:r>
              <w:rPr>
                <w:rFonts w:ascii="Aptos" w:hAnsi="Aptos"/>
                <w:b/>
                <w:color w:val="087D8C"/>
                <w:sz w:val="16"/>
              </w:rPr>
              <w:t xml:space="preserve">COMPLETED DELIVERABLE  </w:t>
            </w:r>
            <w:r>
              <w:t>Validated master register, transformation mapping, documented exception disposition, QA acceptance summary, and a repeatable entry SOP.</w:t>
            </w:r>
          </w:p>
        </w:tc>
      </w:tr>
    </w:tbl>
    <w:p/>
    <w:p>
      <w:pPr>
        <w:pStyle w:val="Heading2"/>
      </w:pPr>
      <w:r>
        <w:t>ROLE COVERAGE</w:t>
      </w:r>
    </w:p>
    <w:p>
      <w:r>
        <w:t>Data Entry Clerk • Data Verification Specialist • Data Processor</w:t>
      </w:r>
    </w:p>
    <w:p>
      <w:pPr>
        <w:pStyle w:val="Heading2"/>
      </w:pPr>
      <w:r>
        <w:t>EVIDENCE AT A GLANCE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shd w:fill="F3F6FA"/>
            <w:tcMar>
              <w:top w:w="160" w:type="dxa"/>
              <w:start w:w="120" w:type="dxa"/>
              <w:bottom w:w="16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6263F"/>
                <w:sz w:val="34"/>
              </w:rPr>
              <w:t>12</w:t>
            </w:r>
          </w:p>
          <w:p>
            <w:pPr>
              <w:jc w:val="center"/>
            </w:pPr>
            <w:r>
              <w:rPr>
                <w:rFonts w:ascii="Aptos" w:hAnsi="Aptos"/>
                <w:b/>
                <w:color w:val="4C5D72"/>
                <w:sz w:val="14"/>
              </w:rPr>
              <w:t>SOURCE RECORDS</w:t>
            </w:r>
          </w:p>
        </w:tc>
        <w:tc>
          <w:tcPr>
            <w:tcW w:type="dxa" w:w="3331"/>
            <w:shd w:fill="F3F6FA"/>
            <w:tcMar>
              <w:top w:w="160" w:type="dxa"/>
              <w:start w:w="120" w:type="dxa"/>
              <w:bottom w:w="16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6263F"/>
                <w:sz w:val="34"/>
              </w:rPr>
              <w:t>9</w:t>
            </w:r>
          </w:p>
          <w:p>
            <w:pPr>
              <w:jc w:val="center"/>
            </w:pPr>
            <w:r>
              <w:rPr>
                <w:rFonts w:ascii="Aptos" w:hAnsi="Aptos"/>
                <w:b/>
                <w:color w:val="4C5D72"/>
                <w:sz w:val="14"/>
              </w:rPr>
              <w:t>APPROVED RECORDS</w:t>
            </w:r>
          </w:p>
        </w:tc>
        <w:tc>
          <w:tcPr>
            <w:tcW w:type="dxa" w:w="3331"/>
            <w:shd w:fill="F3F6FA"/>
            <w:tcMar>
              <w:top w:w="160" w:type="dxa"/>
              <w:start w:w="120" w:type="dxa"/>
              <w:bottom w:w="160" w:type="dxa"/>
              <w:end w:w="120" w:type="dxa"/>
            </w:tcMar>
          </w:tcPr>
          <w:p>
            <w:pPr>
              <w:jc w:val="center"/>
            </w:pPr>
            <w:r>
              <w:rPr>
                <w:rFonts w:ascii="Aptos" w:hAnsi="Aptos"/>
                <w:b/>
                <w:color w:val="16263F"/>
                <w:sz w:val="34"/>
              </w:rPr>
              <w:t>3</w:t>
            </w:r>
          </w:p>
          <w:p>
            <w:pPr>
              <w:jc w:val="center"/>
            </w:pPr>
            <w:r>
              <w:rPr>
                <w:rFonts w:ascii="Aptos" w:hAnsi="Aptos"/>
                <w:b/>
                <w:color w:val="4C5D72"/>
                <w:sz w:val="14"/>
              </w:rPr>
              <w:t>RESOLVED / HELD</w:t>
            </w:r>
          </w:p>
        </w:tc>
      </w:tr>
    </w:tbl>
    <w:p>
      <w:pPr>
        <w:spacing w:before="520"/>
      </w:pPr>
      <w:r>
        <w:rPr>
          <w:rFonts w:ascii="Aptos" w:hAnsi="Aptos"/>
          <w:b/>
          <w:color w:val="4C5D72"/>
          <w:sz w:val="16"/>
        </w:rPr>
        <w:t xml:space="preserve">PREPARED BY  </w:t>
      </w:r>
      <w:r>
        <w:rPr>
          <w:rFonts w:ascii="Aptos" w:hAnsi="Aptos"/>
          <w:b/>
          <w:color w:val="16263F"/>
          <w:sz w:val="18"/>
        </w:rPr>
        <w:t>Jamie Christian II</w:t>
      </w:r>
    </w:p>
    <w:p>
      <w:r>
        <w:rPr>
          <w:rFonts w:ascii="Aptos" w:hAnsi="Aptos"/>
          <w:color w:val="6D7B8A"/>
          <w:sz w:val="16"/>
        </w:rPr>
        <w:t>Document status: Completed sample  |  Version: 2.0 · Evidence Edition  |  27 Oct 2026</w:t>
      </w:r>
    </w:p>
    <w:p>
      <w:r>
        <w:rPr>
          <w:rFonts w:ascii="Aptos" w:hAnsi="Aptos"/>
          <w:color w:val="6D7B8A"/>
          <w:sz w:val="16"/>
        </w:rPr>
        <w:t>Portfolio disclosure: All organizations, records, people, and transactions are fictional. This is a simulated work product, not a claim of past paid employment or client work.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BA8F4D"/>
          <w:sz w:val="16"/>
        </w:rPr>
        <w:t>01 / INTAKE CONTROL PLAN</w:t>
      </w:r>
    </w:p>
    <w:p>
      <w:pPr>
        <w:spacing w:after="200"/>
      </w:pPr>
      <w:r>
        <w:t>Task brief: move raw onboarding submissions into a controlled master file; preserve source IDs and route exceptions.</w:t>
      </w:r>
    </w:p>
    <w:p>
      <w:pPr>
        <w:pStyle w:val="Heading1"/>
      </w:pPr>
      <w:r>
        <w:t>Field specification &amp; acceptance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2966"/>
        <w:gridCol w:w="4738"/>
      </w:tblGrid>
      <w:tr>
        <w:trPr>
          <w:tblHeader w:val="true"/>
          <w:cantSplit/>
        </w:trPr>
        <w:tc>
          <w:tcPr>
            <w:tcW w:type="dxa" w:w="3331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Field</w:t>
            </w:r>
          </w:p>
        </w:tc>
        <w:tc>
          <w:tcPr>
            <w:tcW w:type="dxa" w:w="3331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Expected value</w:t>
            </w:r>
          </w:p>
        </w:tc>
        <w:tc>
          <w:tcPr>
            <w:tcW w:type="dxa" w:w="3331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Gate / normalization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Source ID</w:t>
            </w:r>
          </w:p>
        </w:tc>
        <w:tc>
          <w:tcPr>
            <w:tcW w:type="dxa" w:w="296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SRC-###</w:t>
            </w:r>
          </w:p>
        </w:tc>
        <w:tc>
          <w:tcPr>
            <w:tcW w:type="dxa" w:w="473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Unique ID; never overwrite original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Legal customer name</w:t>
            </w:r>
          </w:p>
        </w:tc>
        <w:tc>
          <w:tcPr>
            <w:tcW w:type="dxa" w:w="296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2–80 characters</w:t>
            </w:r>
          </w:p>
        </w:tc>
        <w:tc>
          <w:tcPr>
            <w:tcW w:type="dxa" w:w="473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Trim whitespace; title case only after source check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Primary contact</w:t>
            </w:r>
          </w:p>
        </w:tc>
        <w:tc>
          <w:tcPr>
            <w:tcW w:type="dxa" w:w="296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First + last</w:t>
            </w:r>
          </w:p>
        </w:tc>
        <w:tc>
          <w:tcPr>
            <w:tcW w:type="dxa" w:w="473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Trim/collapse repeated spaces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Email</w:t>
            </w:r>
          </w:p>
        </w:tc>
        <w:tc>
          <w:tcPr>
            <w:tcW w:type="dxa" w:w="296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user@domain.example</w:t>
            </w:r>
          </w:p>
        </w:tc>
        <w:tc>
          <w:tcPr>
            <w:tcW w:type="dxa" w:w="473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Required; lowercase; syntax check; do not infer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Region</w:t>
            </w:r>
          </w:p>
        </w:tc>
        <w:tc>
          <w:tcPr>
            <w:tcW w:type="dxa" w:w="296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US two-letter code</w:t>
            </w:r>
          </w:p>
        </w:tc>
        <w:tc>
          <w:tcPr>
            <w:tcW w:type="dxa" w:w="473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Valid state; uppercase; keep original in audit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Enrollment date</w:t>
            </w:r>
          </w:p>
        </w:tc>
        <w:tc>
          <w:tcPr>
            <w:tcW w:type="dxa" w:w="296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YYYY-MM-DD</w:t>
            </w:r>
          </w:p>
        </w:tc>
        <w:tc>
          <w:tcPr>
            <w:tcW w:type="dxa" w:w="473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Valid date; must not postdate batch close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Status</w:t>
            </w:r>
          </w:p>
        </w:tc>
        <w:tc>
          <w:tcPr>
            <w:tcW w:type="dxa" w:w="296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Accepted / Duplicate / Hold</w:t>
            </w:r>
          </w:p>
        </w:tc>
        <w:tc>
          <w:tcPr>
            <w:tcW w:type="dxa" w:w="473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No silent deletion of source lines</w:t>
            </w:r>
          </w:p>
        </w:tc>
      </w:tr>
    </w:tbl>
    <w:p>
      <w:pPr>
        <w:spacing w:after="0"/>
      </w:pPr>
    </w:p>
    <w:p>
      <w:pPr>
        <w:pStyle w:val="Heading2"/>
      </w:pPr>
      <w:r>
        <w:t>Processing safeguards</w:t>
      </w:r>
    </w:p>
    <w:p>
      <w:pPr>
        <w:pStyle w:val="ListBullet"/>
        <w:spacing w:after="60"/>
        <w:ind w:left="288"/>
      </w:pPr>
      <w:r>
        <w:t>Use source ID as the immutable evidence key; do not use a person name as a primary identifier.</w:t>
      </w:r>
    </w:p>
    <w:p>
      <w:pPr>
        <w:pStyle w:val="ListBullet"/>
        <w:spacing w:after="60"/>
        <w:ind w:left="288"/>
      </w:pPr>
      <w:r>
        <w:t>Duplicate detection: exact normalized email plus business name review; a possible match triggers manual review, not automatic deletion.</w:t>
      </w:r>
    </w:p>
    <w:p>
      <w:pPr>
        <w:pStyle w:val="ListBullet"/>
        <w:spacing w:after="60"/>
        <w:ind w:left="288"/>
      </w:pPr>
      <w:r>
        <w:t>Record corrections are reversible: log before value, after value, reason, reviewer decision, and batch timestamp.</w:t>
      </w:r>
    </w:p>
    <w:p>
      <w:pPr>
        <w:pStyle w:val="ListBullet"/>
        <w:spacing w:after="60"/>
        <w:ind w:left="288"/>
      </w:pPr>
      <w:r>
        <w:t>Unknown or absent required values remain on hold until an authorized source supplies them.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994"/>
            <w:shd w:fill="EAF3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087D8C"/>
                <w:sz w:val="16"/>
              </w:rPr>
              <w:t>BATCH SCOPE</w:t>
            </w:r>
          </w:p>
          <w:p>
            <w:pPr>
              <w:spacing w:after="0"/>
            </w:pPr>
            <w:r>
              <w:t>Batch INTAKE-2026-10-27-A; fictional Northbridge Client Services. Source window: 2026-10-19 to 2026-10-26. Audit clock: Eastern Time. No live personal information used.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BA8F4D"/>
          <w:sz w:val="16"/>
        </w:rPr>
        <w:t>02 / SOURCE CAPTURE</w:t>
      </w:r>
    </w:p>
    <w:p>
      <w:pPr>
        <w:pStyle w:val="Heading1"/>
      </w:pPr>
      <w:r>
        <w:t>Raw intake received (unaltered source representation)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2952"/>
        <w:gridCol w:w="4824"/>
        <w:gridCol w:w="1123"/>
      </w:tblGrid>
      <w:tr>
        <w:trPr>
          <w:tblHeader w:val="true"/>
          <w:cantSplit/>
        </w:trPr>
        <w:tc>
          <w:tcPr>
            <w:tcW w:type="dxa" w:w="2498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2498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Customer (as entered)</w:t>
            </w:r>
          </w:p>
        </w:tc>
        <w:tc>
          <w:tcPr>
            <w:tcW w:type="dxa" w:w="2498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Contact / email (as entered)</w:t>
            </w:r>
          </w:p>
        </w:tc>
        <w:tc>
          <w:tcPr>
            <w:tcW w:type="dxa" w:w="2498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Region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001</w:t>
            </w:r>
          </w:p>
        </w:tc>
        <w:tc>
          <w:tcPr>
            <w:tcW w:type="dxa" w:w="295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 xml:space="preserve"> NorthWay Office Supplies </w:t>
            </w:r>
          </w:p>
        </w:tc>
        <w:tc>
          <w:tcPr>
            <w:tcW w:type="dxa" w:w="482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Mira  Kent / MIRA.KENT@northway.example</w:t>
            </w:r>
          </w:p>
        </w:tc>
        <w:tc>
          <w:tcPr>
            <w:tcW w:type="dxa" w:w="1123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nc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002</w:t>
            </w:r>
          </w:p>
        </w:tc>
        <w:tc>
          <w:tcPr>
            <w:tcW w:type="dxa" w:w="295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Cedar Pine Logistics</w:t>
            </w:r>
          </w:p>
        </w:tc>
        <w:tc>
          <w:tcPr>
            <w:tcW w:type="dxa" w:w="482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Eli Porter / eli.porter@cedarpine.example</w:t>
            </w:r>
          </w:p>
        </w:tc>
        <w:tc>
          <w:tcPr>
            <w:tcW w:type="dxa" w:w="1123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SC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003</w:t>
            </w:r>
          </w:p>
        </w:tc>
        <w:tc>
          <w:tcPr>
            <w:tcW w:type="dxa" w:w="295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Northway Office Supply</w:t>
            </w:r>
          </w:p>
        </w:tc>
        <w:tc>
          <w:tcPr>
            <w:tcW w:type="dxa" w:w="482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Mira Kent / mira.kent@northway.example</w:t>
            </w:r>
          </w:p>
        </w:tc>
        <w:tc>
          <w:tcPr>
            <w:tcW w:type="dxa" w:w="1123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NC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004</w:t>
            </w:r>
          </w:p>
        </w:tc>
        <w:tc>
          <w:tcPr>
            <w:tcW w:type="dxa" w:w="295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laurel brook studio</w:t>
            </w:r>
          </w:p>
        </w:tc>
        <w:tc>
          <w:tcPr>
            <w:tcW w:type="dxa" w:w="482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Dana Ross / dana.ross@laurelbrook.example</w:t>
            </w:r>
          </w:p>
        </w:tc>
        <w:tc>
          <w:tcPr>
            <w:tcW w:type="dxa" w:w="1123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va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005</w:t>
            </w:r>
          </w:p>
        </w:tc>
        <w:tc>
          <w:tcPr>
            <w:tcW w:type="dxa" w:w="295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Harbor North Dental</w:t>
            </w:r>
          </w:p>
        </w:tc>
        <w:tc>
          <w:tcPr>
            <w:tcW w:type="dxa" w:w="482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Rina Sol / rina.sol@harbornorth.example</w:t>
            </w:r>
          </w:p>
        </w:tc>
        <w:tc>
          <w:tcPr>
            <w:tcW w:type="dxa" w:w="1123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NC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006</w:t>
            </w:r>
          </w:p>
        </w:tc>
        <w:tc>
          <w:tcPr>
            <w:tcW w:type="dxa" w:w="295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W. Glen Holdings</w:t>
            </w:r>
          </w:p>
        </w:tc>
        <w:tc>
          <w:tcPr>
            <w:tcW w:type="dxa" w:w="482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Jules Reed / jules.reed@westglen.example</w:t>
            </w:r>
          </w:p>
        </w:tc>
        <w:tc>
          <w:tcPr>
            <w:tcW w:type="dxa" w:w="1123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ga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007</w:t>
            </w:r>
          </w:p>
        </w:tc>
        <w:tc>
          <w:tcPr>
            <w:tcW w:type="dxa" w:w="295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West Glen Holdings</w:t>
            </w:r>
          </w:p>
        </w:tc>
        <w:tc>
          <w:tcPr>
            <w:tcW w:type="dxa" w:w="482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Jules Reed / JULES.REED@westglen.example</w:t>
            </w:r>
          </w:p>
        </w:tc>
        <w:tc>
          <w:tcPr>
            <w:tcW w:type="dxa" w:w="1123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GA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008</w:t>
            </w:r>
          </w:p>
        </w:tc>
        <w:tc>
          <w:tcPr>
            <w:tcW w:type="dxa" w:w="295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Aster Labs</w:t>
            </w:r>
          </w:p>
        </w:tc>
        <w:tc>
          <w:tcPr>
            <w:tcW w:type="dxa" w:w="482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Noel Park / noel.park@asterlabs.example</w:t>
            </w:r>
          </w:p>
        </w:tc>
        <w:tc>
          <w:tcPr>
            <w:tcW w:type="dxa" w:w="1123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NC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009</w:t>
            </w:r>
          </w:p>
        </w:tc>
        <w:tc>
          <w:tcPr>
            <w:tcW w:type="dxa" w:w="295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Marble Finch LLC</w:t>
            </w:r>
          </w:p>
        </w:tc>
        <w:tc>
          <w:tcPr>
            <w:tcW w:type="dxa" w:w="482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Ada Ford / ada.ford@marblefinch.example</w:t>
            </w:r>
          </w:p>
        </w:tc>
        <w:tc>
          <w:tcPr>
            <w:tcW w:type="dxa" w:w="1123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nc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010</w:t>
            </w:r>
          </w:p>
        </w:tc>
        <w:tc>
          <w:tcPr>
            <w:tcW w:type="dxa" w:w="295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Hollow Creek Foods</w:t>
            </w:r>
          </w:p>
        </w:tc>
        <w:tc>
          <w:tcPr>
            <w:tcW w:type="dxa" w:w="482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Lia Moss / [missing]</w:t>
            </w:r>
          </w:p>
        </w:tc>
        <w:tc>
          <w:tcPr>
            <w:tcW w:type="dxa" w:w="1123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TN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011</w:t>
            </w:r>
          </w:p>
        </w:tc>
        <w:tc>
          <w:tcPr>
            <w:tcW w:type="dxa" w:w="295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Pine Lake Co</w:t>
            </w:r>
          </w:p>
        </w:tc>
        <w:tc>
          <w:tcPr>
            <w:tcW w:type="dxa" w:w="482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Beck Lee / beck.lee@pinelake.example</w:t>
            </w:r>
          </w:p>
        </w:tc>
        <w:tc>
          <w:tcPr>
            <w:tcW w:type="dxa" w:w="1123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TX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012</w:t>
            </w:r>
          </w:p>
        </w:tc>
        <w:tc>
          <w:tcPr>
            <w:tcW w:type="dxa" w:w="295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Morningside Solar</w:t>
            </w:r>
          </w:p>
        </w:tc>
        <w:tc>
          <w:tcPr>
            <w:tcW w:type="dxa" w:w="482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Arlo Vega / arlo.vega@morningside.example</w:t>
            </w:r>
          </w:p>
        </w:tc>
        <w:tc>
          <w:tcPr>
            <w:tcW w:type="dxa" w:w="1123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NC</w:t>
            </w:r>
          </w:p>
        </w:tc>
      </w:tr>
    </w:tbl>
    <w:p>
      <w:pPr>
        <w:spacing w:after="0"/>
      </w:pPr>
    </w:p>
    <w:p>
      <w:pPr>
        <w:pStyle w:val="Heading2"/>
      </w:pPr>
      <w:r>
        <w:t>Source-level checks</w:t>
      </w:r>
    </w:p>
    <w:p>
      <w:r>
        <w:t>Every submission was assigned its source key before editing. Two source rows were flagged as duplicate candidates by normalized email, and one lacked an email. Dates are a documented validation field but are not reproduced in this source excerpt. No rejection was hidden from the batch count.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BA8F4D"/>
          <w:sz w:val="16"/>
        </w:rPr>
        <w:t>03 / FINAL APPROVED REGISTER</w:t>
      </w:r>
    </w:p>
    <w:p>
      <w:pPr>
        <w:pStyle w:val="Heading1"/>
      </w:pPr>
      <w:r>
        <w:t>Master records published to the accepted queue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835"/>
        <w:gridCol w:w="3096"/>
        <w:gridCol w:w="3859"/>
        <w:gridCol w:w="792"/>
      </w:tblGrid>
      <w:tr>
        <w:trPr>
          <w:tblHeader w:val="true"/>
          <w:cantSplit/>
        </w:trPr>
        <w:tc>
          <w:tcPr>
            <w:tcW w:type="dxa" w:w="1999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Master ID</w:t>
            </w:r>
          </w:p>
        </w:tc>
        <w:tc>
          <w:tcPr>
            <w:tcW w:type="dxa" w:w="1999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1999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Customer name</w:t>
            </w:r>
          </w:p>
        </w:tc>
        <w:tc>
          <w:tcPr>
            <w:tcW w:type="dxa" w:w="1999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Primary email</w:t>
            </w:r>
          </w:p>
        </w:tc>
        <w:tc>
          <w:tcPr>
            <w:tcW w:type="dxa" w:w="1999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ST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C-001</w:t>
            </w:r>
          </w:p>
        </w:tc>
        <w:tc>
          <w:tcPr>
            <w:tcW w:type="dxa" w:w="83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001</w:t>
            </w:r>
          </w:p>
        </w:tc>
        <w:tc>
          <w:tcPr>
            <w:tcW w:type="dxa" w:w="309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Northway Office Supplies</w:t>
            </w:r>
          </w:p>
        </w:tc>
        <w:tc>
          <w:tcPr>
            <w:tcW w:type="dxa" w:w="3859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mira.kent@northway.example</w:t>
            </w:r>
          </w:p>
        </w:tc>
        <w:tc>
          <w:tcPr>
            <w:tcW w:type="dxa" w:w="79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NC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C-002</w:t>
            </w:r>
          </w:p>
        </w:tc>
        <w:tc>
          <w:tcPr>
            <w:tcW w:type="dxa" w:w="83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002</w:t>
            </w:r>
          </w:p>
        </w:tc>
        <w:tc>
          <w:tcPr>
            <w:tcW w:type="dxa" w:w="309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Cedar Pine Logistics</w:t>
            </w:r>
          </w:p>
        </w:tc>
        <w:tc>
          <w:tcPr>
            <w:tcW w:type="dxa" w:w="3859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eli.porter@cedarpine.example</w:t>
            </w:r>
          </w:p>
        </w:tc>
        <w:tc>
          <w:tcPr>
            <w:tcW w:type="dxa" w:w="79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SC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C-003</w:t>
            </w:r>
          </w:p>
        </w:tc>
        <w:tc>
          <w:tcPr>
            <w:tcW w:type="dxa" w:w="83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004</w:t>
            </w:r>
          </w:p>
        </w:tc>
        <w:tc>
          <w:tcPr>
            <w:tcW w:type="dxa" w:w="309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Laurel Brook Studio</w:t>
            </w:r>
          </w:p>
        </w:tc>
        <w:tc>
          <w:tcPr>
            <w:tcW w:type="dxa" w:w="3859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dana.ross@laurelbrook.example</w:t>
            </w:r>
          </w:p>
        </w:tc>
        <w:tc>
          <w:tcPr>
            <w:tcW w:type="dxa" w:w="79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VA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C-004</w:t>
            </w:r>
          </w:p>
        </w:tc>
        <w:tc>
          <w:tcPr>
            <w:tcW w:type="dxa" w:w="83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005</w:t>
            </w:r>
          </w:p>
        </w:tc>
        <w:tc>
          <w:tcPr>
            <w:tcW w:type="dxa" w:w="309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Harbor North Dental</w:t>
            </w:r>
          </w:p>
        </w:tc>
        <w:tc>
          <w:tcPr>
            <w:tcW w:type="dxa" w:w="3859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rina.sol@harbornorth.example</w:t>
            </w:r>
          </w:p>
        </w:tc>
        <w:tc>
          <w:tcPr>
            <w:tcW w:type="dxa" w:w="79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NC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C-005</w:t>
            </w:r>
          </w:p>
        </w:tc>
        <w:tc>
          <w:tcPr>
            <w:tcW w:type="dxa" w:w="83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006</w:t>
            </w:r>
          </w:p>
        </w:tc>
        <w:tc>
          <w:tcPr>
            <w:tcW w:type="dxa" w:w="309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W. Glen Holdings</w:t>
            </w:r>
          </w:p>
        </w:tc>
        <w:tc>
          <w:tcPr>
            <w:tcW w:type="dxa" w:w="3859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jules.reed@westglen.example</w:t>
            </w:r>
          </w:p>
        </w:tc>
        <w:tc>
          <w:tcPr>
            <w:tcW w:type="dxa" w:w="79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GA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C-006</w:t>
            </w:r>
          </w:p>
        </w:tc>
        <w:tc>
          <w:tcPr>
            <w:tcW w:type="dxa" w:w="83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008</w:t>
            </w:r>
          </w:p>
        </w:tc>
        <w:tc>
          <w:tcPr>
            <w:tcW w:type="dxa" w:w="309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Aster Labs</w:t>
            </w:r>
          </w:p>
        </w:tc>
        <w:tc>
          <w:tcPr>
            <w:tcW w:type="dxa" w:w="3859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noel.park@asterlabs.example</w:t>
            </w:r>
          </w:p>
        </w:tc>
        <w:tc>
          <w:tcPr>
            <w:tcW w:type="dxa" w:w="79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NC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C-007</w:t>
            </w:r>
          </w:p>
        </w:tc>
        <w:tc>
          <w:tcPr>
            <w:tcW w:type="dxa" w:w="83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009</w:t>
            </w:r>
          </w:p>
        </w:tc>
        <w:tc>
          <w:tcPr>
            <w:tcW w:type="dxa" w:w="309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Marble Finch LLC</w:t>
            </w:r>
          </w:p>
        </w:tc>
        <w:tc>
          <w:tcPr>
            <w:tcW w:type="dxa" w:w="3859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ada.ford@marblefinch.example</w:t>
            </w:r>
          </w:p>
        </w:tc>
        <w:tc>
          <w:tcPr>
            <w:tcW w:type="dxa" w:w="79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NC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C-008</w:t>
            </w:r>
          </w:p>
        </w:tc>
        <w:tc>
          <w:tcPr>
            <w:tcW w:type="dxa" w:w="83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011</w:t>
            </w:r>
          </w:p>
        </w:tc>
        <w:tc>
          <w:tcPr>
            <w:tcW w:type="dxa" w:w="309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Pine Lake Co</w:t>
            </w:r>
          </w:p>
        </w:tc>
        <w:tc>
          <w:tcPr>
            <w:tcW w:type="dxa" w:w="3859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beck.lee@pinelake.example</w:t>
            </w:r>
          </w:p>
        </w:tc>
        <w:tc>
          <w:tcPr>
            <w:tcW w:type="dxa" w:w="79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TX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C-009</w:t>
            </w:r>
          </w:p>
        </w:tc>
        <w:tc>
          <w:tcPr>
            <w:tcW w:type="dxa" w:w="835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012</w:t>
            </w:r>
          </w:p>
        </w:tc>
        <w:tc>
          <w:tcPr>
            <w:tcW w:type="dxa" w:w="309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Morningside Solar</w:t>
            </w:r>
          </w:p>
        </w:tc>
        <w:tc>
          <w:tcPr>
            <w:tcW w:type="dxa" w:w="3859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arlo.vega@morningside.example</w:t>
            </w:r>
          </w:p>
        </w:tc>
        <w:tc>
          <w:tcPr>
            <w:tcW w:type="dxa" w:w="79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NC</w:t>
            </w:r>
          </w:p>
        </w:tc>
      </w:tr>
    </w:tbl>
    <w:p>
      <w:pPr>
        <w:spacing w:after="0"/>
      </w:pPr>
    </w:p>
    <w:p>
      <w:pPr>
        <w:pStyle w:val="Heading2"/>
      </w:pPr>
      <w:r>
        <w:t>Normalization applied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520"/>
        <w:gridCol w:w="5198"/>
      </w:tblGrid>
      <w:tr>
        <w:trPr>
          <w:tblHeader w:val="true"/>
          <w:cantSplit/>
        </w:trPr>
        <w:tc>
          <w:tcPr>
            <w:tcW w:type="dxa" w:w="3331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Rule</w:t>
            </w:r>
          </w:p>
        </w:tc>
        <w:tc>
          <w:tcPr>
            <w:tcW w:type="dxa" w:w="3331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Evidence</w:t>
            </w:r>
          </w:p>
        </w:tc>
        <w:tc>
          <w:tcPr>
            <w:tcW w:type="dxa" w:w="3331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Disposition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Trim and case</w:t>
            </w:r>
          </w:p>
        </w:tc>
        <w:tc>
          <w:tcPr>
            <w:tcW w:type="dxa" w:w="252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SRC-001, SRC-004, SRC-009</w:t>
            </w:r>
          </w:p>
        </w:tc>
        <w:tc>
          <w:tcPr>
            <w:tcW w:type="dxa" w:w="519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Spacing and letter case standardized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Uppercase state</w:t>
            </w:r>
          </w:p>
        </w:tc>
        <w:tc>
          <w:tcPr>
            <w:tcW w:type="dxa" w:w="252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SRC-001, 004, 006, 009</w:t>
            </w:r>
          </w:p>
        </w:tc>
        <w:tc>
          <w:tcPr>
            <w:tcW w:type="dxa" w:w="519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NC / VA / GA normalized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Lowercase email</w:t>
            </w:r>
          </w:p>
        </w:tc>
        <w:tc>
          <w:tcPr>
            <w:tcW w:type="dxa" w:w="252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SRC-001, SRC-007</w:t>
            </w:r>
          </w:p>
        </w:tc>
        <w:tc>
          <w:tcPr>
            <w:tcW w:type="dxa" w:w="519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Address normalized for comparison</w:t>
            </w:r>
          </w:p>
        </w:tc>
      </w:tr>
      <w:tr>
        <w:trPr>
          <w:cantSplit/>
        </w:trPr>
        <w:tc>
          <w:tcPr>
            <w:tcW w:type="dxa" w:w="2074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Canonical naming</w:t>
            </w:r>
          </w:p>
        </w:tc>
        <w:tc>
          <w:tcPr>
            <w:tcW w:type="dxa" w:w="252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SRC-006 + SRC-007</w:t>
            </w:r>
          </w:p>
        </w:tc>
        <w:tc>
          <w:tcPr>
            <w:tcW w:type="dxa" w:w="519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Retain SRC-006 name pending brand verification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c>
          <w:tcPr>
            <w:tcW w:type="dxa" w:w="9994"/>
            <w:shd w:fill="EAF3F5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rFonts w:ascii="Aptos" w:hAnsi="Aptos"/>
                <w:b/>
                <w:color w:val="087D8C"/>
                <w:sz w:val="16"/>
              </w:rPr>
              <w:t>RECONCILIATION</w:t>
            </w:r>
          </w:p>
          <w:p>
            <w:pPr>
              <w:spacing w:after="0"/>
            </w:pPr>
            <w:r>
              <w:t>12 source rows = 9 accepted master rows + 2 duplicate rows + 1 held row. Every source key has exactly one batch disposition.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BA8F4D"/>
          <w:sz w:val="16"/>
        </w:rPr>
        <w:t>04 / EXCEPTION REGISTER &amp; EVIDENCE</w:t>
      </w:r>
    </w:p>
    <w:p>
      <w:pPr>
        <w:pStyle w:val="Heading1"/>
      </w:pPr>
      <w:r>
        <w:t>Decision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936"/>
        <w:gridCol w:w="2376"/>
        <w:gridCol w:w="4176"/>
        <w:gridCol w:w="1051"/>
      </w:tblGrid>
      <w:tr>
        <w:trPr>
          <w:tblHeader w:val="true"/>
          <w:cantSplit/>
        </w:trPr>
        <w:tc>
          <w:tcPr>
            <w:tcW w:type="dxa" w:w="1999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Exception</w:t>
            </w:r>
          </w:p>
        </w:tc>
        <w:tc>
          <w:tcPr>
            <w:tcW w:type="dxa" w:w="1999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1999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1999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Action / reason</w:t>
            </w:r>
          </w:p>
        </w:tc>
        <w:tc>
          <w:tcPr>
            <w:tcW w:type="dxa" w:w="1999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State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EX-01</w:t>
            </w:r>
          </w:p>
        </w:tc>
        <w:tc>
          <w:tcPr>
            <w:tcW w:type="dxa" w:w="93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003</w:t>
            </w:r>
          </w:p>
        </w:tc>
        <w:tc>
          <w:tcPr>
            <w:tcW w:type="dxa" w:w="237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Same email as SRC-001; minor name variant</w:t>
            </w:r>
          </w:p>
        </w:tc>
        <w:tc>
          <w:tcPr>
            <w:tcW w:type="dxa" w:w="417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Link to C-001. Preserve source; do not create second account.</w:t>
            </w:r>
          </w:p>
        </w:tc>
        <w:tc>
          <w:tcPr>
            <w:tcW w:type="dxa" w:w="1051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Closed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EX-02</w:t>
            </w:r>
          </w:p>
        </w:tc>
        <w:tc>
          <w:tcPr>
            <w:tcW w:type="dxa" w:w="93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007</w:t>
            </w:r>
          </w:p>
        </w:tc>
        <w:tc>
          <w:tcPr>
            <w:tcW w:type="dxa" w:w="237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Same email as SRC-006; name expanded</w:t>
            </w:r>
          </w:p>
        </w:tc>
        <w:tc>
          <w:tcPr>
            <w:tcW w:type="dxa" w:w="417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Link to C-005. Require separate legal-name verification before change.</w:t>
            </w:r>
          </w:p>
        </w:tc>
        <w:tc>
          <w:tcPr>
            <w:tcW w:type="dxa" w:w="1051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Closed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EX-03</w:t>
            </w:r>
          </w:p>
        </w:tc>
        <w:tc>
          <w:tcPr>
            <w:tcW w:type="dxa" w:w="93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010</w:t>
            </w:r>
          </w:p>
        </w:tc>
        <w:tc>
          <w:tcPr>
            <w:tcW w:type="dxa" w:w="237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Required primary email missing</w:t>
            </w:r>
          </w:p>
        </w:tc>
        <w:tc>
          <w:tcPr>
            <w:tcW w:type="dxa" w:w="417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Hold entry; request verified contact email from sales owner.</w:t>
            </w:r>
          </w:p>
        </w:tc>
        <w:tc>
          <w:tcPr>
            <w:tcW w:type="dxa" w:w="1051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5"/>
              </w:rPr>
              <w:t>Open</w:t>
            </w:r>
          </w:p>
        </w:tc>
      </w:tr>
    </w:tbl>
    <w:p>
      <w:pPr>
        <w:spacing w:after="0"/>
      </w:pPr>
    </w:p>
    <w:p>
      <w:pPr>
        <w:pStyle w:val="Heading2"/>
      </w:pPr>
      <w:r>
        <w:t>Representative audit trail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2160"/>
        <w:gridCol w:w="5472"/>
      </w:tblGrid>
      <w:tr>
        <w:trPr>
          <w:tblHeader w:val="true"/>
          <w:cantSplit/>
        </w:trPr>
        <w:tc>
          <w:tcPr>
            <w:tcW w:type="dxa" w:w="3331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Batch step</w:t>
            </w:r>
          </w:p>
        </w:tc>
        <w:tc>
          <w:tcPr>
            <w:tcW w:type="dxa" w:w="3331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When (ET)</w:t>
            </w:r>
          </w:p>
        </w:tc>
        <w:tc>
          <w:tcPr>
            <w:tcW w:type="dxa" w:w="3331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Recorded evidence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Import capture</w:t>
            </w:r>
          </w:p>
        </w:tc>
        <w:tc>
          <w:tcPr>
            <w:tcW w:type="dxa" w:w="216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2026-10-27 09:05</w:t>
            </w:r>
          </w:p>
        </w:tc>
        <w:tc>
          <w:tcPr>
            <w:tcW w:type="dxa" w:w="547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12 immutable source keys allocated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Validation run</w:t>
            </w:r>
          </w:p>
        </w:tc>
        <w:tc>
          <w:tcPr>
            <w:tcW w:type="dxa" w:w="216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2026-10-27 09:22</w:t>
            </w:r>
          </w:p>
        </w:tc>
        <w:tc>
          <w:tcPr>
            <w:tcW w:type="dxa" w:w="547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3 exceptions raised; 9 provisional accepts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Manual review</w:t>
            </w:r>
          </w:p>
        </w:tc>
        <w:tc>
          <w:tcPr>
            <w:tcW w:type="dxa" w:w="216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2026-10-27 09:45</w:t>
            </w:r>
          </w:p>
        </w:tc>
        <w:tc>
          <w:tcPr>
            <w:tcW w:type="dxa" w:w="547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2 exact-email duplicate candidates confirmed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QA sample</w:t>
            </w:r>
          </w:p>
        </w:tc>
        <w:tc>
          <w:tcPr>
            <w:tcW w:type="dxa" w:w="216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2026-10-27 10:10</w:t>
            </w:r>
          </w:p>
        </w:tc>
        <w:tc>
          <w:tcPr>
            <w:tcW w:type="dxa" w:w="547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9 accepted records compared against source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Release</w:t>
            </w:r>
          </w:p>
        </w:tc>
        <w:tc>
          <w:tcPr>
            <w:tcW w:type="dxa" w:w="2160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2026-10-27 10:30</w:t>
            </w:r>
          </w:p>
        </w:tc>
        <w:tc>
          <w:tcPr>
            <w:tcW w:type="dxa" w:w="5472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9 accepted; 1 hold routed to sales queue</w:t>
            </w:r>
          </w:p>
        </w:tc>
      </w:tr>
    </w:tbl>
    <w:p>
      <w:pPr>
        <w:spacing w:after="0"/>
      </w:pPr>
    </w:p>
    <w:p>
      <w:pPr>
        <w:pStyle w:val="Heading2"/>
      </w:pPr>
      <w:r>
        <w:t>Correction versus assumption</w:t>
      </w:r>
    </w:p>
    <w:p>
      <w:r>
        <w:t>The apparent spelling difference between “W. Glen Holdings” and “West Glen Holdings” was not expanded in the approved legal-name field. The match was sufficient to prevent a duplicate account, but not sufficient to assert a legal-name correction. This separation demonstrates controlled verification rather than guesswork.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color w:val="BA8F4D"/>
          <w:sz w:val="16"/>
        </w:rPr>
        <w:t>05 / SOP &amp; RELEASE</w:t>
      </w:r>
    </w:p>
    <w:p>
      <w:pPr>
        <w:pStyle w:val="Heading1"/>
      </w:pPr>
      <w:r>
        <w:t>Standard operating procedure — customer record intake</w:t>
      </w:r>
    </w:p>
    <w:p>
      <w:pPr>
        <w:ind w:left="202" w:hanging="187"/>
      </w:pPr>
      <w:r>
        <w:rPr>
          <w:rFonts w:ascii="Aptos" w:hAnsi="Aptos"/>
          <w:b/>
          <w:color w:val="087D8C"/>
          <w:sz w:val="18"/>
        </w:rPr>
        <w:t xml:space="preserve">01  </w:t>
      </w:r>
      <w:r>
        <w:t>Save the intake export as a read-only source snapshot and assign the intake batch identifier.</w:t>
      </w:r>
    </w:p>
    <w:p>
      <w:pPr>
        <w:ind w:left="202" w:hanging="187"/>
      </w:pPr>
      <w:r>
        <w:rPr>
          <w:rFonts w:ascii="Aptos" w:hAnsi="Aptos"/>
          <w:b/>
          <w:color w:val="087D8C"/>
          <w:sz w:val="18"/>
        </w:rPr>
        <w:t xml:space="preserve">02  </w:t>
      </w:r>
      <w:r>
        <w:t>Apply field-level checks: required values, date format, valid state code, email syntax, and length limits.</w:t>
      </w:r>
    </w:p>
    <w:p>
      <w:pPr>
        <w:ind w:left="202" w:hanging="187"/>
      </w:pPr>
      <w:r>
        <w:rPr>
          <w:rFonts w:ascii="Aptos" w:hAnsi="Aptos"/>
          <w:b/>
          <w:color w:val="087D8C"/>
          <w:sz w:val="18"/>
        </w:rPr>
        <w:t xml:space="preserve">03  </w:t>
      </w:r>
      <w:r>
        <w:t>Standardize only safe formatting differences (case, leading/trailing whitespace); retain original values in the exception evidence.</w:t>
      </w:r>
    </w:p>
    <w:p>
      <w:pPr>
        <w:ind w:left="202" w:hanging="187"/>
      </w:pPr>
      <w:r>
        <w:rPr>
          <w:rFonts w:ascii="Aptos" w:hAnsi="Aptos"/>
          <w:b/>
          <w:color w:val="087D8C"/>
          <w:sz w:val="18"/>
        </w:rPr>
        <w:t xml:space="preserve">04  </w:t>
      </w:r>
      <w:r>
        <w:t>Run exact normalized-email duplicate screening and inspect likely entity-name matches manually.</w:t>
      </w:r>
    </w:p>
    <w:p>
      <w:pPr>
        <w:ind w:left="202" w:hanging="187"/>
      </w:pPr>
      <w:r>
        <w:rPr>
          <w:rFonts w:ascii="Aptos" w:hAnsi="Aptos"/>
          <w:b/>
          <w:color w:val="087D8C"/>
          <w:sz w:val="18"/>
        </w:rPr>
        <w:t xml:space="preserve">05  </w:t>
      </w:r>
      <w:r>
        <w:t>Assign each source row one and only one status: Accepted, Duplicate, or Hold.</w:t>
      </w:r>
    </w:p>
    <w:p>
      <w:pPr>
        <w:ind w:left="202" w:hanging="187"/>
      </w:pPr>
      <w:r>
        <w:rPr>
          <w:rFonts w:ascii="Aptos" w:hAnsi="Aptos"/>
          <w:b/>
          <w:color w:val="087D8C"/>
          <w:sz w:val="18"/>
        </w:rPr>
        <w:t xml:space="preserve">06  </w:t>
      </w:r>
      <w:r>
        <w:t>Create master IDs for accepted rows. Link duplicates to the canonical master without discarding source evidence.</w:t>
      </w:r>
    </w:p>
    <w:p>
      <w:pPr>
        <w:ind w:left="202" w:hanging="187"/>
      </w:pPr>
      <w:r>
        <w:rPr>
          <w:rFonts w:ascii="Aptos" w:hAnsi="Aptos"/>
          <w:b/>
          <w:color w:val="087D8C"/>
          <w:sz w:val="18"/>
        </w:rPr>
        <w:t xml:space="preserve">07  </w:t>
      </w:r>
      <w:r>
        <w:t>Reconcile source, master, duplicates, and holds; obtain QA review before releasing an approved output.</w:t>
      </w:r>
    </w:p>
    <w:p>
      <w:pPr>
        <w:ind w:left="202" w:hanging="187"/>
      </w:pPr>
      <w:r>
        <w:rPr>
          <w:rFonts w:ascii="Aptos" w:hAnsi="Aptos"/>
          <w:b/>
          <w:color w:val="087D8C"/>
          <w:sz w:val="18"/>
        </w:rPr>
        <w:t xml:space="preserve">08  </w:t>
      </w:r>
      <w:r>
        <w:t>Escalate missing mandatory fields to the authorized owner; do not fabricate or backfill from unverified third-party sources.</w:t>
      </w:r>
    </w:p>
    <w:p>
      <w:pPr>
        <w:pStyle w:val="Heading2"/>
      </w:pPr>
      <w:r>
        <w:t>Acceptance evidence</w:t>
      </w:r>
    </w:p>
    <w:p>
      <w:pPr>
        <w:spacing w:after="80"/>
      </w:pPr>
      <w:r>
        <w:rPr>
          <w:rFonts w:ascii="Aptos" w:hAnsi="Aptos"/>
          <w:b/>
          <w:color w:val="087D8C"/>
          <w:sz w:val="16"/>
        </w:rPr>
        <w:t xml:space="preserve">PASS  </w:t>
      </w:r>
      <w:r>
        <w:t>12/12 source IDs accounted for; none lost or silently deleted.</w:t>
      </w:r>
    </w:p>
    <w:p>
      <w:pPr>
        <w:spacing w:after="80"/>
      </w:pPr>
      <w:r>
        <w:rPr>
          <w:rFonts w:ascii="Aptos" w:hAnsi="Aptos"/>
          <w:b/>
          <w:color w:val="087D8C"/>
          <w:sz w:val="16"/>
        </w:rPr>
        <w:t xml:space="preserve">PASS  </w:t>
      </w:r>
      <w:r>
        <w:t>9/9 accepted records contain contact, email, state, and source lineage.</w:t>
      </w:r>
    </w:p>
    <w:p>
      <w:pPr>
        <w:spacing w:after="80"/>
      </w:pPr>
      <w:r>
        <w:rPr>
          <w:rFonts w:ascii="Aptos" w:hAnsi="Aptos"/>
          <w:b/>
          <w:color w:val="087D8C"/>
          <w:sz w:val="16"/>
        </w:rPr>
        <w:t xml:space="preserve">PASS  </w:t>
      </w:r>
      <w:r>
        <w:t>0 duplicate primary emails among the 9 accepted master records.</w:t>
      </w:r>
    </w:p>
    <w:p>
      <w:pPr>
        <w:spacing w:after="80"/>
      </w:pPr>
      <w:r>
        <w:rPr>
          <w:rFonts w:ascii="Aptos" w:hAnsi="Aptos"/>
          <w:b/>
          <w:color w:val="087D8C"/>
          <w:sz w:val="16"/>
        </w:rPr>
        <w:t xml:space="preserve">PASS  </w:t>
      </w:r>
      <w:r>
        <w:t>1 unresolved missing-email item held outside the released register.</w:t>
      </w:r>
    </w:p>
    <w:p>
      <w:pPr>
        <w:pStyle w:val="Heading2"/>
      </w:pPr>
      <w:r>
        <w:t>CONTROLLED RELEASE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6"/>
        <w:gridCol w:w="7416"/>
      </w:tblGrid>
      <w:tr>
        <w:trPr>
          <w:tblHeader w:val="true"/>
          <w:cantSplit/>
        </w:trPr>
        <w:tc>
          <w:tcPr>
            <w:tcW w:type="dxa" w:w="4997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Control</w:t>
            </w:r>
          </w:p>
        </w:tc>
        <w:tc>
          <w:tcPr>
            <w:tcW w:type="dxa" w:w="4997"/>
            <w:shd w:fill="16263F"/>
            <w:tcMar>
              <w:top w:w="85" w:type="dxa"/>
              <w:start w:w="100" w:type="dxa"/>
              <w:bottom w:w="85" w:type="dxa"/>
              <w:end w:w="10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Head"/>
            </w:pPr>
            <w:r>
              <w:rPr>
                <w:rFonts w:ascii="Aptos" w:hAnsi="Aptos"/>
                <w:b/>
                <w:color w:val="FFFFFF"/>
                <w:sz w:val="16"/>
              </w:rPr>
              <w:t>Final result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Document owner</w:t>
            </w:r>
          </w:p>
        </w:tc>
        <w:tc>
          <w:tcPr>
            <w:tcW w:type="dxa" w:w="741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Client Data Operations / QA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Review state</w:t>
            </w:r>
          </w:p>
        </w:tc>
        <w:tc>
          <w:tcPr>
            <w:tcW w:type="dxa" w:w="741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Approved for training portfolio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Review date</w:t>
            </w:r>
          </w:p>
        </w:tc>
        <w:tc>
          <w:tcPr>
            <w:tcW w:type="dxa" w:w="741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2026-10-27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Data classification</w:t>
            </w:r>
          </w:p>
        </w:tc>
        <w:tc>
          <w:tcPr>
            <w:tcW w:type="dxa" w:w="7416"/>
            <w:vAlign w:val="center"/>
            <w:tcMar>
              <w:top w:w="78" w:type="dxa"/>
              <w:start w:w="90" w:type="dxa"/>
              <w:bottom w:w="78" w:type="dxa"/>
              <w:end w:w="90" w:type="dxa"/>
            </w:tcMar>
            <w:tcBorders>
              <w:bottom w:val="single" w:sz="3" w:color="D8E1EA"/>
              <w:top w:val="single" w:sz="3" w:color="D8E1EA"/>
              <w:left w:val="single" w:sz="3" w:color="D8E1EA"/>
              <w:right w:val="single" w:sz="3" w:color="D8E1EA"/>
            </w:tcBorders>
            <w:shd w:fill="F3F6FA"/>
          </w:tcPr>
          <w:p>
            <w:pPr>
              <w:pStyle w:val="TableData"/>
            </w:pPr>
            <w:r>
              <w:rPr>
                <w:rFonts w:ascii="Aptos" w:hAnsi="Aptos"/>
                <w:color w:val="1B2635"/>
                <w:sz w:val="16"/>
              </w:rPr>
              <w:t>Fictional sample / no real personal, financial, or medical data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b/>
          <w:color w:val="087D8C"/>
          <w:sz w:val="16"/>
        </w:rPr>
        <w:t>07 / ORIGINAL VS FINAL</w:t>
      </w:r>
    </w:p>
    <w:p>
      <w:pPr>
        <w:pStyle w:val="Heading1"/>
      </w:pPr>
      <w:r>
        <w:t>Evidence pack: source-to-output lineage</w:t>
      </w:r>
    </w:p>
    <w:p>
      <w:r>
        <w:rPr>
          <w:b w:val="0"/>
        </w:rPr>
        <w:t>Companion CSV files contain the exact 12 raw forms, nine accepted rows, and three exceptions. The two duplicate candidates and one incomplete intake never enter the published master.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952"/>
        <w:gridCol w:w="2952"/>
        <w:gridCol w:w="3888"/>
      </w:tblGrid>
      <w:tr>
        <w:trPr>
          <w:tblHeader w:val="true"/>
        </w:trPr>
        <w:tc>
          <w:tcPr>
            <w:tcW w:type="dxa" w:w="3331"/>
            <w:vAlign w:val="center"/>
            <w:shd w:fill="16263F"/>
          </w:tcPr>
          <w:p>
            <w:r>
              <w:rPr>
                <w:b/>
                <w:color w:val="FFFFFF"/>
                <w:sz w:val="16"/>
              </w:rPr>
              <w:t>Control test</w:t>
            </w:r>
          </w:p>
        </w:tc>
        <w:tc>
          <w:tcPr>
            <w:tcW w:type="dxa" w:w="3331"/>
            <w:vAlign w:val="center"/>
            <w:shd w:fill="16263F"/>
          </w:tcPr>
          <w:p>
            <w:r>
              <w:rPr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3331"/>
            <w:vAlign w:val="center"/>
            <w:shd w:fill="16263F"/>
          </w:tcPr>
          <w:p>
            <w:r>
              <w:rPr>
                <w:b/>
                <w:color w:val="FFFFFF"/>
                <w:sz w:val="16"/>
              </w:rPr>
              <w:t>Reperformed result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0"/>
            </w:pPr>
            <w:r>
              <w:rPr>
                <w:sz w:val="15"/>
              </w:rPr>
              <w:t>Input reconciliation</w:t>
            </w:r>
          </w:p>
        </w:tc>
        <w:tc>
          <w:tcPr>
            <w:tcW w:type="dxa" w:w="2952"/>
          </w:tcPr>
          <w:p>
            <w:pPr>
              <w:spacing w:after="0"/>
            </w:pPr>
            <w:r>
              <w:rPr>
                <w:sz w:val="15"/>
              </w:rPr>
              <w:t>12 = 9 + 2 + 1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sz w:val="15"/>
              </w:rPr>
              <w:t>PASS / 12 source IDs accounted for</w:t>
            </w:r>
          </w:p>
        </w:tc>
      </w:tr>
      <w:tr>
        <w:trPr>
          <w:cantSplit/>
        </w:trPr>
        <w:tc>
          <w:tcPr>
            <w:tcW w:type="dxa" w:w="2952"/>
            <w:shd w:fill="F3F6FA"/>
          </w:tcPr>
          <w:p>
            <w:pPr>
              <w:spacing w:after="0"/>
            </w:pPr>
            <w:r>
              <w:rPr>
                <w:sz w:val="15"/>
              </w:rPr>
              <w:t>Master primary-email uniqueness</w:t>
            </w:r>
          </w:p>
        </w:tc>
        <w:tc>
          <w:tcPr>
            <w:tcW w:type="dxa" w:w="2952"/>
            <w:shd w:fill="F3F6FA"/>
          </w:tcPr>
          <w:p>
            <w:pPr>
              <w:spacing w:after="0"/>
            </w:pPr>
            <w:r>
              <w:rPr>
                <w:sz w:val="15"/>
              </w:rPr>
              <w:t>9 unique addresses</w:t>
            </w:r>
          </w:p>
        </w:tc>
        <w:tc>
          <w:tcPr>
            <w:tcW w:type="dxa" w:w="3888"/>
            <w:shd w:fill="F3F6FA"/>
          </w:tcPr>
          <w:p>
            <w:pPr>
              <w:spacing w:after="0"/>
            </w:pPr>
            <w:r>
              <w:rPr>
                <w:sz w:val="15"/>
              </w:rPr>
              <w:t>PASS / 9 unique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0"/>
            </w:pPr>
            <w:r>
              <w:rPr>
                <w:sz w:val="15"/>
              </w:rPr>
              <w:t>Required field completeness</w:t>
            </w:r>
          </w:p>
        </w:tc>
        <w:tc>
          <w:tcPr>
            <w:tcW w:type="dxa" w:w="2952"/>
          </w:tcPr>
          <w:p>
            <w:pPr>
              <w:spacing w:after="0"/>
            </w:pPr>
            <w:r>
              <w:rPr>
                <w:sz w:val="15"/>
              </w:rPr>
              <w:t>9 complete records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sz w:val="15"/>
              </w:rPr>
              <w:t>PASS / 9 complete</w:t>
            </w:r>
          </w:p>
        </w:tc>
      </w:tr>
      <w:tr>
        <w:trPr>
          <w:cantSplit/>
        </w:trPr>
        <w:tc>
          <w:tcPr>
            <w:tcW w:type="dxa" w:w="2952"/>
            <w:shd w:fill="F3F6FA"/>
          </w:tcPr>
          <w:p>
            <w:pPr>
              <w:spacing w:after="0"/>
            </w:pPr>
            <w:r>
              <w:rPr>
                <w:sz w:val="15"/>
              </w:rPr>
              <w:t>Duplicate candidates</w:t>
            </w:r>
          </w:p>
        </w:tc>
        <w:tc>
          <w:tcPr>
            <w:tcW w:type="dxa" w:w="2952"/>
            <w:shd w:fill="F3F6FA"/>
          </w:tcPr>
          <w:p>
            <w:pPr>
              <w:spacing w:after="0"/>
            </w:pPr>
            <w:r>
              <w:rPr>
                <w:sz w:val="15"/>
              </w:rPr>
              <w:t>SRC-003 and SRC-007</w:t>
            </w:r>
          </w:p>
        </w:tc>
        <w:tc>
          <w:tcPr>
            <w:tcW w:type="dxa" w:w="3888"/>
            <w:shd w:fill="F3F6FA"/>
          </w:tcPr>
          <w:p>
            <w:pPr>
              <w:spacing w:after="0"/>
            </w:pPr>
            <w:r>
              <w:rPr>
                <w:sz w:val="15"/>
              </w:rPr>
              <w:t>PASS / both excluded</w:t>
            </w:r>
          </w:p>
        </w:tc>
      </w:tr>
      <w:tr>
        <w:trPr>
          <w:cantSplit/>
        </w:trPr>
        <w:tc>
          <w:tcPr>
            <w:tcW w:type="dxa" w:w="2952"/>
          </w:tcPr>
          <w:p>
            <w:pPr>
              <w:spacing w:after="0"/>
            </w:pPr>
            <w:r>
              <w:rPr>
                <w:sz w:val="15"/>
              </w:rPr>
              <w:t>Missing-contact hold</w:t>
            </w:r>
          </w:p>
        </w:tc>
        <w:tc>
          <w:tcPr>
            <w:tcW w:type="dxa" w:w="2952"/>
          </w:tcPr>
          <w:p>
            <w:pPr>
              <w:spacing w:after="0"/>
            </w:pPr>
            <w:r>
              <w:rPr>
                <w:sz w:val="15"/>
              </w:rPr>
              <w:t>SRC-010</w:t>
            </w:r>
          </w:p>
        </w:tc>
        <w:tc>
          <w:tcPr>
            <w:tcW w:type="dxa" w:w="3888"/>
          </w:tcPr>
          <w:p>
            <w:pPr>
              <w:spacing w:after="0"/>
            </w:pPr>
            <w:r>
              <w:rPr>
                <w:sz w:val="15"/>
              </w:rPr>
              <w:t>PASS / unresolved, not invented</w:t>
            </w:r>
          </w:p>
        </w:tc>
      </w:tr>
    </w:tbl>
    <w:p>
      <w:pPr>
        <w:spacing w:after="0"/>
      </w:pPr>
    </w:p>
    <w:p>
      <w:pPr>
        <w:pStyle w:val="Heading2"/>
      </w:pPr>
      <w:r>
        <w:t>Before / after correction sampling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81"/>
        <w:gridCol w:w="3110"/>
        <w:gridCol w:w="3038"/>
        <w:gridCol w:w="2462"/>
      </w:tblGrid>
      <w:tr>
        <w:trPr>
          <w:tblHeader w:val="true"/>
        </w:trPr>
        <w:tc>
          <w:tcPr>
            <w:tcW w:type="dxa" w:w="2498"/>
            <w:vAlign w:val="center"/>
            <w:shd w:fill="16263F"/>
          </w:tcPr>
          <w:p>
            <w:r>
              <w:rPr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498"/>
            <w:vAlign w:val="center"/>
            <w:shd w:fill="16263F"/>
          </w:tcPr>
          <w:p>
            <w:r>
              <w:rPr>
                <w:b/>
                <w:color w:val="FFFFFF"/>
                <w:sz w:val="16"/>
              </w:rPr>
              <w:t>Source value</w:t>
            </w:r>
          </w:p>
        </w:tc>
        <w:tc>
          <w:tcPr>
            <w:tcW w:type="dxa" w:w="2498"/>
            <w:vAlign w:val="center"/>
            <w:shd w:fill="16263F"/>
          </w:tcPr>
          <w:p>
            <w:r>
              <w:rPr>
                <w:b/>
                <w:color w:val="FFFFFF"/>
                <w:sz w:val="16"/>
              </w:rPr>
              <w:t>Published value</w:t>
            </w:r>
          </w:p>
        </w:tc>
        <w:tc>
          <w:tcPr>
            <w:tcW w:type="dxa" w:w="2498"/>
            <w:vAlign w:val="center"/>
            <w:shd w:fill="16263F"/>
          </w:tcPr>
          <w:p>
            <w:r>
              <w:rPr>
                <w:b/>
                <w:color w:val="FFFFFF"/>
                <w:sz w:val="16"/>
              </w:rPr>
              <w:t>Reason</w:t>
            </w:r>
          </w:p>
        </w:tc>
      </w:tr>
      <w:tr>
        <w:trPr>
          <w:cantSplit/>
        </w:trPr>
        <w:tc>
          <w:tcPr>
            <w:tcW w:type="dxa" w:w="1181"/>
          </w:tcPr>
          <w:p>
            <w:pPr>
              <w:spacing w:after="0"/>
            </w:pPr>
            <w:r>
              <w:rPr>
                <w:sz w:val="15"/>
              </w:rPr>
              <w:t>SRC-001</w:t>
            </w:r>
          </w:p>
        </w:tc>
        <w:tc>
          <w:tcPr>
            <w:tcW w:type="dxa" w:w="3110"/>
          </w:tcPr>
          <w:p>
            <w:pPr>
              <w:spacing w:after="0"/>
            </w:pPr>
            <w:r>
              <w:rPr>
                <w:sz w:val="15"/>
              </w:rPr>
              <w:t xml:space="preserve"> NorthWay Office Supplies </w:t>
            </w:r>
          </w:p>
        </w:tc>
        <w:tc>
          <w:tcPr>
            <w:tcW w:type="dxa" w:w="3038"/>
          </w:tcPr>
          <w:p>
            <w:pPr>
              <w:spacing w:after="0"/>
            </w:pPr>
            <w:r>
              <w:rPr>
                <w:sz w:val="15"/>
              </w:rPr>
              <w:t>Northway Office Supplies</w:t>
            </w:r>
          </w:p>
        </w:tc>
        <w:tc>
          <w:tcPr>
            <w:tcW w:type="dxa" w:w="2462"/>
          </w:tcPr>
          <w:p>
            <w:pPr>
              <w:spacing w:after="0"/>
            </w:pPr>
            <w:r>
              <w:rPr>
                <w:sz w:val="15"/>
              </w:rPr>
              <w:t>Trim and canonicalize</w:t>
            </w:r>
          </w:p>
        </w:tc>
      </w:tr>
      <w:tr>
        <w:trPr>
          <w:cantSplit/>
        </w:trPr>
        <w:tc>
          <w:tcPr>
            <w:tcW w:type="dxa" w:w="1181"/>
            <w:shd w:fill="F3F6FA"/>
          </w:tcPr>
          <w:p>
            <w:pPr>
              <w:spacing w:after="0"/>
            </w:pPr>
            <w:r>
              <w:rPr>
                <w:sz w:val="15"/>
              </w:rPr>
              <w:t>SRC-004</w:t>
            </w:r>
          </w:p>
        </w:tc>
        <w:tc>
          <w:tcPr>
            <w:tcW w:type="dxa" w:w="3110"/>
            <w:shd w:fill="F3F6FA"/>
          </w:tcPr>
          <w:p>
            <w:pPr>
              <w:spacing w:after="0"/>
            </w:pPr>
            <w:r>
              <w:rPr>
                <w:sz w:val="15"/>
              </w:rPr>
              <w:t>laurel brook studio</w:t>
            </w:r>
          </w:p>
        </w:tc>
        <w:tc>
          <w:tcPr>
            <w:tcW w:type="dxa" w:w="3038"/>
            <w:shd w:fill="F3F6FA"/>
          </w:tcPr>
          <w:p>
            <w:pPr>
              <w:spacing w:after="0"/>
            </w:pPr>
            <w:r>
              <w:rPr>
                <w:sz w:val="15"/>
              </w:rPr>
              <w:t>Laurel Brook Studio</w:t>
            </w:r>
          </w:p>
        </w:tc>
        <w:tc>
          <w:tcPr>
            <w:tcW w:type="dxa" w:w="2462"/>
            <w:shd w:fill="F3F6FA"/>
          </w:tcPr>
          <w:p>
            <w:pPr>
              <w:spacing w:after="0"/>
            </w:pPr>
            <w:r>
              <w:rPr>
                <w:sz w:val="15"/>
              </w:rPr>
              <w:t>Verified title casing</w:t>
            </w:r>
          </w:p>
        </w:tc>
      </w:tr>
      <w:tr>
        <w:trPr>
          <w:cantSplit/>
        </w:trPr>
        <w:tc>
          <w:tcPr>
            <w:tcW w:type="dxa" w:w="1181"/>
          </w:tcPr>
          <w:p>
            <w:pPr>
              <w:spacing w:after="0"/>
            </w:pPr>
            <w:r>
              <w:rPr>
                <w:sz w:val="15"/>
              </w:rPr>
              <w:t>SRC-006</w:t>
            </w:r>
          </w:p>
        </w:tc>
        <w:tc>
          <w:tcPr>
            <w:tcW w:type="dxa" w:w="3110"/>
          </w:tcPr>
          <w:p>
            <w:pPr>
              <w:spacing w:after="0"/>
            </w:pPr>
            <w:r>
              <w:rPr>
                <w:sz w:val="15"/>
              </w:rPr>
              <w:t>ga</w:t>
            </w:r>
          </w:p>
        </w:tc>
        <w:tc>
          <w:tcPr>
            <w:tcW w:type="dxa" w:w="3038"/>
          </w:tcPr>
          <w:p>
            <w:pPr>
              <w:spacing w:after="0"/>
            </w:pPr>
            <w:r>
              <w:rPr>
                <w:sz w:val="15"/>
              </w:rPr>
              <w:t>GA</w:t>
            </w:r>
          </w:p>
        </w:tc>
        <w:tc>
          <w:tcPr>
            <w:tcW w:type="dxa" w:w="2462"/>
          </w:tcPr>
          <w:p>
            <w:pPr>
              <w:spacing w:after="0"/>
            </w:pPr>
            <w:r>
              <w:rPr>
                <w:sz w:val="15"/>
              </w:rPr>
              <w:t>State-code normalization</w:t>
            </w:r>
          </w:p>
        </w:tc>
      </w:tr>
      <w:tr>
        <w:trPr>
          <w:cantSplit/>
        </w:trPr>
        <w:tc>
          <w:tcPr>
            <w:tcW w:type="dxa" w:w="1181"/>
            <w:shd w:fill="F3F6FA"/>
          </w:tcPr>
          <w:p>
            <w:pPr>
              <w:spacing w:after="0"/>
            </w:pPr>
            <w:r>
              <w:rPr>
                <w:sz w:val="15"/>
              </w:rPr>
              <w:t>SRC-010</w:t>
            </w:r>
          </w:p>
        </w:tc>
        <w:tc>
          <w:tcPr>
            <w:tcW w:type="dxa" w:w="3110"/>
            <w:shd w:fill="F3F6FA"/>
          </w:tcPr>
          <w:p>
            <w:pPr>
              <w:spacing w:after="0"/>
            </w:pPr>
            <w:r>
              <w:rPr>
                <w:sz w:val="15"/>
              </w:rPr>
              <w:t>[email blank]</w:t>
            </w:r>
          </w:p>
        </w:tc>
        <w:tc>
          <w:tcPr>
            <w:tcW w:type="dxa" w:w="3038"/>
            <w:shd w:fill="F3F6FA"/>
          </w:tcPr>
          <w:p>
            <w:pPr>
              <w:spacing w:after="0"/>
            </w:pPr>
            <w:r>
              <w:rPr>
                <w:sz w:val="15"/>
              </w:rPr>
              <w:t>[not published]</w:t>
            </w:r>
          </w:p>
        </w:tc>
        <w:tc>
          <w:tcPr>
            <w:tcW w:type="dxa" w:w="2462"/>
            <w:shd w:fill="F3F6FA"/>
          </w:tcPr>
          <w:p>
            <w:pPr>
              <w:spacing w:after="0"/>
            </w:pPr>
            <w:r>
              <w:rPr>
                <w:sz w:val="15"/>
              </w:rPr>
              <w:t>Hold; no fabricated address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spacing w:after="80"/>
      </w:pPr>
      <w:r>
        <w:rPr>
          <w:b/>
          <w:color w:val="087D8C"/>
          <w:sz w:val="16"/>
        </w:rPr>
        <w:t>08 / WORD PRODUCTION</w:t>
      </w:r>
    </w:p>
    <w:p>
      <w:pPr>
        <w:pStyle w:val="Heading1"/>
      </w:pPr>
      <w:r>
        <w:t>Advanced Word mail-merge demonstration</w:t>
      </w:r>
    </w:p>
    <w:p>
      <w:r>
        <w:rPr>
          <w:b w:val="0"/>
        </w:rPr>
        <w:t>The companion BONUS_Word_Mail_Merge_Master.docx contains true Word MERGEFIELD fields. The nine-row CSV supplies recipients and BONUS_Finished_Merged_Letters_9.docx shows the rendered output. This is a complete data-to-document process, not a screenshot.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6"/>
        <w:gridCol w:w="5256"/>
      </w:tblGrid>
      <w:tr>
        <w:trPr>
          <w:tblHeader w:val="true"/>
        </w:trPr>
        <w:tc>
          <w:tcPr>
            <w:tcW w:type="dxa" w:w="4997"/>
            <w:vAlign w:val="center"/>
            <w:shd w:fill="16263F"/>
          </w:tcPr>
          <w:p>
            <w:r>
              <w:rPr>
                <w:b/>
                <w:color w:val="FFFFFF"/>
                <w:sz w:val="16"/>
              </w:rPr>
              <w:t>Artifact</w:t>
            </w:r>
          </w:p>
        </w:tc>
        <w:tc>
          <w:tcPr>
            <w:tcW w:type="dxa" w:w="4997"/>
            <w:vAlign w:val="center"/>
            <w:shd w:fill="16263F"/>
          </w:tcPr>
          <w:p>
            <w:r>
              <w:rPr>
                <w:b/>
                <w:color w:val="FFFFFF"/>
                <w:sz w:val="16"/>
              </w:rPr>
              <w:t>Practical competency</w:t>
            </w:r>
          </w:p>
        </w:tc>
      </w:tr>
      <w:tr>
        <w:trPr>
          <w:cantSplit/>
        </w:trPr>
        <w:tc>
          <w:tcPr>
            <w:tcW w:type="dxa" w:w="4536"/>
          </w:tcPr>
          <w:p>
            <w:pPr>
              <w:spacing w:after="0"/>
            </w:pPr>
            <w:r>
              <w:rPr>
                <w:sz w:val="15"/>
              </w:rPr>
              <w:t>SOURCE_customer_intake_12.csv</w:t>
            </w:r>
          </w:p>
        </w:tc>
        <w:tc>
          <w:tcPr>
            <w:tcW w:type="dxa" w:w="5256"/>
          </w:tcPr>
          <w:p>
            <w:pPr>
              <w:spacing w:after="0"/>
            </w:pPr>
            <w:r>
              <w:rPr>
                <w:sz w:val="15"/>
              </w:rPr>
              <w:t>Controlled intake and source retention</w:t>
            </w:r>
          </w:p>
        </w:tc>
      </w:tr>
      <w:tr>
        <w:trPr>
          <w:cantSplit/>
        </w:trPr>
        <w:tc>
          <w:tcPr>
            <w:tcW w:type="dxa" w:w="4536"/>
            <w:shd w:fill="F3F6FA"/>
          </w:tcPr>
          <w:p>
            <w:pPr>
              <w:spacing w:after="0"/>
            </w:pPr>
            <w:r>
              <w:rPr>
                <w:sz w:val="15"/>
              </w:rPr>
              <w:t>FINAL_approved_master_9.csv</w:t>
            </w:r>
          </w:p>
        </w:tc>
        <w:tc>
          <w:tcPr>
            <w:tcW w:type="dxa" w:w="5256"/>
            <w:shd w:fill="F3F6FA"/>
          </w:tcPr>
          <w:p>
            <w:pPr>
              <w:spacing w:after="0"/>
            </w:pPr>
            <w:r>
              <w:rPr>
                <w:sz w:val="15"/>
              </w:rPr>
              <w:t>Standardization and verified output</w:t>
            </w:r>
          </w:p>
        </w:tc>
      </w:tr>
      <w:tr>
        <w:trPr>
          <w:cantSplit/>
        </w:trPr>
        <w:tc>
          <w:tcPr>
            <w:tcW w:type="dxa" w:w="4536"/>
          </w:tcPr>
          <w:p>
            <w:pPr>
              <w:spacing w:after="0"/>
            </w:pPr>
            <w:r>
              <w:rPr>
                <w:sz w:val="15"/>
              </w:rPr>
              <w:t>EXCEPTIONS_and_audit_trail.csv</w:t>
            </w:r>
          </w:p>
        </w:tc>
        <w:tc>
          <w:tcPr>
            <w:tcW w:type="dxa" w:w="5256"/>
          </w:tcPr>
          <w:p>
            <w:pPr>
              <w:spacing w:after="0"/>
            </w:pPr>
            <w:r>
              <w:rPr>
                <w:sz w:val="15"/>
              </w:rPr>
              <w:t>Data lineage and decision support</w:t>
            </w:r>
          </w:p>
        </w:tc>
      </w:tr>
      <w:tr>
        <w:trPr>
          <w:cantSplit/>
        </w:trPr>
        <w:tc>
          <w:tcPr>
            <w:tcW w:type="dxa" w:w="4536"/>
            <w:shd w:fill="F3F6FA"/>
          </w:tcPr>
          <w:p>
            <w:pPr>
              <w:spacing w:after="0"/>
            </w:pPr>
            <w:r>
              <w:rPr>
                <w:sz w:val="15"/>
              </w:rPr>
              <w:t>BONUS_Word_Mail_Merge_Master.docx</w:t>
            </w:r>
          </w:p>
        </w:tc>
        <w:tc>
          <w:tcPr>
            <w:tcW w:type="dxa" w:w="5256"/>
            <w:shd w:fill="F3F6FA"/>
          </w:tcPr>
          <w:p>
            <w:pPr>
              <w:spacing w:after="0"/>
            </w:pPr>
            <w:r>
              <w:rPr>
                <w:sz w:val="15"/>
              </w:rPr>
              <w:t>Word field codes, reusable correspondence</w:t>
            </w:r>
          </w:p>
        </w:tc>
      </w:tr>
      <w:tr>
        <w:trPr>
          <w:cantSplit/>
        </w:trPr>
        <w:tc>
          <w:tcPr>
            <w:tcW w:type="dxa" w:w="4536"/>
          </w:tcPr>
          <w:p>
            <w:pPr>
              <w:spacing w:after="0"/>
            </w:pPr>
            <w:r>
              <w:rPr>
                <w:sz w:val="15"/>
              </w:rPr>
              <w:t>BONUS_Finished_Merged_Letters_9.docx</w:t>
            </w:r>
          </w:p>
        </w:tc>
        <w:tc>
          <w:tcPr>
            <w:tcW w:type="dxa" w:w="5256"/>
          </w:tcPr>
          <w:p>
            <w:pPr>
              <w:spacing w:after="0"/>
            </w:pPr>
            <w:r>
              <w:rPr>
                <w:sz w:val="15"/>
              </w:rPr>
              <w:t>Nine personalized, reviewable notices</w:t>
            </w:r>
          </w:p>
        </w:tc>
      </w:tr>
    </w:tbl>
    <w:p>
      <w:pPr>
        <w:spacing w:after="0"/>
      </w:pPr>
    </w:p>
    <w:p>
      <w:pPr>
        <w:pStyle w:val="Heading2"/>
      </w:pPr>
      <w:r>
        <w:t>Reviewer replay steps</w:t>
      </w:r>
    </w:p>
    <w:p>
      <w:pPr>
        <w:pStyle w:val="ListBullet"/>
        <w:spacing w:after="60"/>
      </w:pPr>
      <w:r>
        <w:t>Open source CSV and filter SRC-003, SRC-007 and SRC-010.</w:t>
      </w:r>
    </w:p>
    <w:p>
      <w:pPr>
        <w:pStyle w:val="ListBullet"/>
        <w:spacing w:after="60"/>
      </w:pPr>
      <w:r>
        <w:t>Check each accepted source ID against the final master; verify capitalization and email transforms.</w:t>
      </w:r>
    </w:p>
    <w:p>
      <w:pPr>
        <w:pStyle w:val="ListBullet"/>
        <w:spacing w:after="60"/>
      </w:pPr>
      <w:r>
        <w:t>In Word, inspect the MERGEFIELD fields using Alt+F9 on Windows (Option+F9 on some Macs).</w:t>
      </w:r>
    </w:p>
    <w:p>
      <w:pPr>
        <w:pStyle w:val="ListBullet"/>
        <w:spacing w:after="60"/>
      </w:pPr>
      <w:r>
        <w:t>Use Mailings &gt; Select Recipients &gt; Use Existing List and select the final-master CSV.</w:t>
      </w:r>
    </w:p>
    <w:p>
      <w:pPr>
        <w:pStyle w:val="ListBullet"/>
        <w:spacing w:after="60"/>
      </w:pPr>
      <w:r>
        <w:t>Compare the merged output recipient count with the nine accepted master rows.</w:t>
      </w:r>
    </w:p>
    <w:p>
      <w:r>
        <w:rPr>
          <w:b w:val="0"/>
        </w:rPr>
        <w:t>Assessment: evidence supports accurate document/data production. A reviewer should repeat the Mail Merge in a desktop Word installation for environment-specific confirmation.</w:t>
      </w:r>
    </w:p>
    <w:p>
      <w:r>
        <w:br w:type="page"/>
      </w:r>
    </w:p>
    <w:p>
      <w:r>
        <w:rPr>
          <w:b/>
          <w:color w:val="0C7B89"/>
          <w:sz w:val="16"/>
        </w:rPr>
        <w:t>DEEP-DIVE CASE FILE  /  DATA-01</w:t>
      </w:r>
    </w:p>
    <w:p>
      <w:pPr>
        <w:pStyle w:val="Heading1"/>
      </w:pPr>
      <w:r>
        <w:t>Expanded customer intake: 120-record operations cycle</w:t>
      </w:r>
    </w:p>
    <w:p>
      <w:pPr>
        <w:spacing w:after="120"/>
      </w:pPr>
      <w:r>
        <w:t>This expansion simulates a second, higher-volume intake cycle independent of the original 12-record project. Every row is fictional; the published master is a deterministic output of a documented decision rule. The supplied CSV files let a reviewer independently reproduce the outcome.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2880"/>
            <w:shd w:fill="172946"/>
          </w:tcPr>
          <w:p>
            <w:r>
              <w:rPr>
                <w:b/>
                <w:color w:val="FFFFFF"/>
                <w:sz w:val="16"/>
              </w:rPr>
              <w:t>Control total</w:t>
            </w:r>
          </w:p>
        </w:tc>
        <w:tc>
          <w:tcPr>
            <w:tcW w:type="dxa" w:w="1584"/>
            <w:shd w:fill="172946"/>
          </w:tcPr>
          <w:p>
            <w:r>
              <w:rPr>
                <w:b/>
                <w:color w:val="FFFFFF"/>
                <w:sz w:val="16"/>
              </w:rPr>
              <w:t>Value</w:t>
            </w:r>
          </w:p>
        </w:tc>
        <w:tc>
          <w:tcPr>
            <w:tcW w:type="dxa" w:w="5328"/>
            <w:shd w:fill="172946"/>
          </w:tcPr>
          <w:p>
            <w:r>
              <w:rPr>
                <w:b/>
                <w:color w:val="FFFFFF"/>
                <w:sz w:val="16"/>
              </w:rPr>
              <w:t>Evidence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Incoming submissions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120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SOURCE_customer_intake_expanded_120.csv</w:t>
            </w:r>
          </w:p>
        </w:tc>
      </w:tr>
      <w:tr>
        <w:trPr>
          <w:cantSplit/>
        </w:trPr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Accepted unique records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104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FINAL_customer_master_expanded_104.csv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Duplicate submissions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10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EXCEPTIONS_expanded_16.csv</w:t>
            </w:r>
          </w:p>
        </w:tc>
      </w:tr>
      <w:tr>
        <w:trPr>
          <w:cantSplit/>
        </w:trPr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Incomplete or invalid records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EXCEPTIONS_expanded_16.csv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Reconciliation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104 + 10 + 6 = 120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FINAL_disposition_register_expanded_120.csv</w:t>
            </w:r>
          </w:p>
        </w:tc>
      </w:tr>
    </w:tbl>
    <w:p>
      <w:pPr>
        <w:spacing w:after="0"/>
      </w:pPr>
    </w:p>
    <w:p>
      <w:pPr>
        <w:pStyle w:val="Heading2"/>
      </w:pPr>
      <w:r>
        <w:t>Data contract and release rules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1958"/>
            <w:shd w:fill="172946"/>
          </w:tcPr>
          <w:p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type="dxa" w:w="4608"/>
            <w:shd w:fill="172946"/>
          </w:tcPr>
          <w:p>
            <w:r>
              <w:rPr>
                <w:b/>
                <w:color w:val="FFFFFF"/>
                <w:sz w:val="16"/>
              </w:rPr>
              <w:t>Format / rule</w:t>
            </w:r>
          </w:p>
        </w:tc>
        <w:tc>
          <w:tcPr>
            <w:tcW w:type="dxa" w:w="3226"/>
            <w:shd w:fill="172946"/>
          </w:tcPr>
          <w:p>
            <w:r>
              <w:rPr>
                <w:b/>
                <w:color w:val="FFFFFF"/>
                <w:sz w:val="16"/>
              </w:rPr>
              <w:t>Failure response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batch_id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Required, unique immutable source identifier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Block if absent or reused</w:t>
            </w:r>
          </w:p>
        </w:tc>
      </w:tr>
      <w:tr>
        <w:trPr>
          <w:cantSplit/>
        </w:trPr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organization_raw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Required; trim whitespace; avoid unjustified legal renaming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Route discrepancies to source owner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contact_raw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Required; normalize spacing only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Hold missing contact</w:t>
            </w:r>
          </w:p>
        </w:tc>
      </w:tr>
      <w:tr>
        <w:trPr>
          <w:cantSplit/>
        </w:trPr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email_raw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Required; trim/lowercase; basic shape validation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Hold malformed, blank, or ambiguous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state_raw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Two-letter U.S. code from approved state list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Hold state not present in dictionary</w:t>
            </w:r>
          </w:p>
        </w:tc>
      </w:tr>
      <w:tr>
        <w:trPr>
          <w:cantSplit/>
        </w:trPr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date_raw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ISO YYYY-MM-DD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Hold impossible dates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channel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Named controlled source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Record lineage for auditing</w:t>
            </w:r>
          </w:p>
        </w:tc>
      </w:tr>
    </w:tbl>
    <w:p>
      <w:pPr>
        <w:spacing w:after="0"/>
      </w:pPr>
    </w:p>
    <w:p>
      <w:r>
        <w:br w:type="page"/>
      </w:r>
    </w:p>
    <w:p>
      <w:r>
        <w:rPr>
          <w:b/>
          <w:color w:val="0C7B89"/>
          <w:sz w:val="16"/>
        </w:rPr>
        <w:t>DEEP-DIVE CASE FILE  /  DATA-02</w:t>
      </w:r>
    </w:p>
    <w:p>
      <w:pPr>
        <w:pStyle w:val="Heading1"/>
      </w:pPr>
      <w:r>
        <w:t>Standard operating procedure and audit evidence</w:t>
      </w:r>
    </w:p>
    <w:p>
      <w:pPr>
        <w:pStyle w:val="ListBullet"/>
        <w:spacing w:after="60"/>
      </w:pPr>
      <w:r>
        <w:t>1. Accept only the 120 immutable source rows; preserve raw values and batch IDs.</w:t>
      </w:r>
    </w:p>
    <w:p>
      <w:pPr>
        <w:pStyle w:val="ListBullet"/>
        <w:spacing w:after="60"/>
      </w:pPr>
      <w:r>
        <w:t>2. Profile nulls, formats, dates, and duplicate candidates before editing.</w:t>
      </w:r>
    </w:p>
    <w:p>
      <w:pPr>
        <w:pStyle w:val="ListBullet"/>
        <w:spacing w:after="60"/>
      </w:pPr>
      <w:r>
        <w:t>3. Standardize fields on a separate working layer; do not overwrite the raw intake.</w:t>
      </w:r>
    </w:p>
    <w:p>
      <w:pPr>
        <w:pStyle w:val="ListBullet"/>
        <w:spacing w:after="60"/>
      </w:pPr>
      <w:r>
        <w:t>4. Validate email shape and required fields; reject unresolved invalid inputs.</w:t>
      </w:r>
    </w:p>
    <w:p>
      <w:pPr>
        <w:pStyle w:val="ListBullet"/>
        <w:spacing w:after="60"/>
      </w:pPr>
      <w:r>
        <w:t>5. Match email keys against earlier approved records; review same-email duplicates before suppression.</w:t>
      </w:r>
    </w:p>
    <w:p>
      <w:pPr>
        <w:pStyle w:val="ListBullet"/>
        <w:spacing w:after="60"/>
      </w:pPr>
      <w:r>
        <w:t>6. Publish approved master records only after spot checking source lineage and data dictionary.</w:t>
      </w:r>
    </w:p>
    <w:p>
      <w:pPr>
        <w:pStyle w:val="ListBullet"/>
        <w:spacing w:after="60"/>
      </w:pPr>
      <w:r>
        <w:t>7. Log duplicates and holds with an owner, next action, reason, and verification status.</w:t>
      </w:r>
    </w:p>
    <w:p>
      <w:pPr>
        <w:pStyle w:val="ListBullet"/>
        <w:spacing w:after="60"/>
      </w:pPr>
      <w:r>
        <w:t>8. Reconcile source volume to approved and exception volumes before release.</w:t>
      </w:r>
    </w:p>
    <w:p>
      <w:pPr>
        <w:pStyle w:val="Heading2"/>
      </w:pPr>
      <w:r>
        <w:t>Representative before / after audit entries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/>
        </w:trPr>
        <w:tc>
          <w:tcPr>
            <w:tcW w:type="dxa" w:w="1469"/>
            <w:shd w:fill="172946"/>
          </w:tcPr>
          <w:p>
            <w:r>
              <w:rPr>
                <w:b/>
                <w:color w:val="FFFFFF"/>
                <w:sz w:val="16"/>
              </w:rPr>
              <w:t>Input item</w:t>
            </w:r>
          </w:p>
        </w:tc>
        <w:tc>
          <w:tcPr>
            <w:tcW w:type="dxa" w:w="3168"/>
            <w:shd w:fill="172946"/>
          </w:tcPr>
          <w:p>
            <w:r>
              <w:rPr>
                <w:b/>
                <w:color w:val="FFFFFF"/>
                <w:sz w:val="16"/>
              </w:rPr>
              <w:t>Captured value</w:t>
            </w:r>
          </w:p>
        </w:tc>
        <w:tc>
          <w:tcPr>
            <w:tcW w:type="dxa" w:w="1440"/>
            <w:shd w:fill="172946"/>
          </w:tcPr>
          <w:p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type="dxa" w:w="3715"/>
            <w:shd w:fill="172946"/>
          </w:tcPr>
          <w:p>
            <w:r>
              <w:rPr>
                <w:b/>
                <w:color w:val="FFFFFF"/>
                <w:sz w:val="16"/>
              </w:rPr>
              <w:t>Evidence / disposition</w:t>
            </w:r>
          </w:p>
        </w:tc>
      </w:tr>
      <w:tr>
        <w:trPr>
          <w:cantSplit/>
        </w:trPr>
        <w:tc>
          <w:tcPr>
            <w:tcW w:type="dxa" w:w="2498"/>
          </w:tcPr>
          <w:p>
            <w:pPr>
              <w:spacing w:after="0"/>
            </w:pPr>
            <w:r>
              <w:rPr>
                <w:sz w:val="16"/>
              </w:rPr>
              <w:t>B-006</w:t>
            </w:r>
          </w:p>
        </w:tc>
        <w:tc>
          <w:tcPr>
            <w:tcW w:type="dxa" w:w="2498"/>
          </w:tcPr>
          <w:p>
            <w:pPr>
              <w:spacing w:after="0"/>
            </w:pPr>
            <w:r>
              <w:rPr>
                <w:sz w:val="16"/>
              </w:rPr>
              <w:t>account006@portfolio.example</w:t>
            </w:r>
          </w:p>
        </w:tc>
        <w:tc>
          <w:tcPr>
            <w:tcW w:type="dxa" w:w="2498"/>
          </w:tcPr>
          <w:p>
            <w:pPr>
              <w:spacing w:after="0"/>
            </w:pPr>
            <w:r>
              <w:rPr>
                <w:sz w:val="16"/>
              </w:rPr>
              <w:t>APPROVED</w:t>
            </w:r>
          </w:p>
        </w:tc>
        <w:tc>
          <w:tcPr>
            <w:tcW w:type="dxa" w:w="2498"/>
          </w:tcPr>
          <w:p>
            <w:pPr>
              <w:spacing w:after="0"/>
            </w:pPr>
            <w:r>
              <w:rPr>
                <w:sz w:val="16"/>
              </w:rPr>
              <w:t>Published as K-0006</w:t>
            </w:r>
          </w:p>
        </w:tc>
      </w:tr>
      <w:tr>
        <w:trPr>
          <w:cantSplit/>
        </w:trPr>
        <w:tc>
          <w:tcPr>
            <w:tcW w:type="dxa" w:w="2498"/>
            <w:shd w:fill="EEF5F8"/>
          </w:tcPr>
          <w:p>
            <w:pPr>
              <w:spacing w:after="0"/>
            </w:pPr>
            <w:r>
              <w:rPr>
                <w:sz w:val="16"/>
              </w:rPr>
              <w:t>B-105</w:t>
            </w:r>
          </w:p>
        </w:tc>
        <w:tc>
          <w:tcPr>
            <w:tcW w:type="dxa" w:w="2498"/>
            <w:shd w:fill="EEF5F8"/>
          </w:tcPr>
          <w:p>
            <w:pPr>
              <w:spacing w:after="0"/>
            </w:pPr>
            <w:r>
              <w:rPr>
                <w:sz w:val="16"/>
              </w:rPr>
              <w:t>ACCOUNT006@PORTFOLIO.EXAMPLE</w:t>
            </w:r>
          </w:p>
        </w:tc>
        <w:tc>
          <w:tcPr>
            <w:tcW w:type="dxa" w:w="2498"/>
            <w:shd w:fill="EEF5F8"/>
          </w:tcPr>
          <w:p>
            <w:pPr>
              <w:spacing w:after="0"/>
            </w:pPr>
            <w:r>
              <w:rPr>
                <w:sz w:val="16"/>
              </w:rPr>
              <w:t>DUPLICATE</w:t>
            </w:r>
          </w:p>
        </w:tc>
        <w:tc>
          <w:tcPr>
            <w:tcW w:type="dxa" w:w="2498"/>
            <w:shd w:fill="EEF5F8"/>
          </w:tcPr>
          <w:p>
            <w:pPr>
              <w:spacing w:after="0"/>
            </w:pPr>
            <w:r>
              <w:rPr>
                <w:sz w:val="16"/>
              </w:rPr>
              <w:t>Suppressed; points to earlier unique email</w:t>
            </w:r>
          </w:p>
        </w:tc>
      </w:tr>
      <w:tr>
        <w:trPr>
          <w:cantSplit/>
        </w:trPr>
        <w:tc>
          <w:tcPr>
            <w:tcW w:type="dxa" w:w="2498"/>
          </w:tcPr>
          <w:p>
            <w:pPr>
              <w:spacing w:after="0"/>
            </w:pPr>
            <w:r>
              <w:rPr>
                <w:sz w:val="16"/>
              </w:rPr>
              <w:t>B-115</w:t>
            </w:r>
          </w:p>
        </w:tc>
        <w:tc>
          <w:tcPr>
            <w:tcW w:type="dxa" w:w="2498"/>
          </w:tcPr>
          <w:p>
            <w:pPr>
              <w:spacing w:after="0"/>
            </w:pPr>
            <w:r>
              <w:rPr>
                <w:sz w:val="16"/>
              </w:rPr>
              <w:t>[blank]</w:t>
            </w:r>
          </w:p>
        </w:tc>
        <w:tc>
          <w:tcPr>
            <w:tcW w:type="dxa" w:w="2498"/>
          </w:tcPr>
          <w:p>
            <w:pPr>
              <w:spacing w:after="0"/>
            </w:pPr>
            <w:r>
              <w:rPr>
                <w:sz w:val="16"/>
              </w:rPr>
              <w:t>HOLD</w:t>
            </w:r>
          </w:p>
        </w:tc>
        <w:tc>
          <w:tcPr>
            <w:tcW w:type="dxa" w:w="2498"/>
          </w:tcPr>
          <w:p>
            <w:pPr>
              <w:spacing w:after="0"/>
            </w:pPr>
            <w:r>
              <w:rPr>
                <w:sz w:val="16"/>
              </w:rPr>
              <w:t>Source correction requested</w:t>
            </w:r>
          </w:p>
        </w:tc>
      </w:tr>
      <w:tr>
        <w:trPr>
          <w:cantSplit/>
        </w:trPr>
        <w:tc>
          <w:tcPr>
            <w:tcW w:type="dxa" w:w="2498"/>
            <w:shd w:fill="EEF5F8"/>
          </w:tcPr>
          <w:p>
            <w:pPr>
              <w:spacing w:after="0"/>
            </w:pPr>
            <w:r>
              <w:rPr>
                <w:sz w:val="16"/>
              </w:rPr>
              <w:t>B-116</w:t>
            </w:r>
          </w:p>
        </w:tc>
        <w:tc>
          <w:tcPr>
            <w:tcW w:type="dxa" w:w="2498"/>
            <w:shd w:fill="EEF5F8"/>
          </w:tcPr>
          <w:p>
            <w:pPr>
              <w:spacing w:after="0"/>
            </w:pPr>
            <w:r>
              <w:rPr>
                <w:sz w:val="16"/>
              </w:rPr>
              <w:t>not-an-email</w:t>
            </w:r>
          </w:p>
        </w:tc>
        <w:tc>
          <w:tcPr>
            <w:tcW w:type="dxa" w:w="2498"/>
            <w:shd w:fill="EEF5F8"/>
          </w:tcPr>
          <w:p>
            <w:pPr>
              <w:spacing w:after="0"/>
            </w:pPr>
            <w:r>
              <w:rPr>
                <w:sz w:val="16"/>
              </w:rPr>
              <w:t>HOLD</w:t>
            </w:r>
          </w:p>
        </w:tc>
        <w:tc>
          <w:tcPr>
            <w:tcW w:type="dxa" w:w="2498"/>
            <w:shd w:fill="EEF5F8"/>
          </w:tcPr>
          <w:p>
            <w:pPr>
              <w:spacing w:after="0"/>
            </w:pPr>
            <w:r>
              <w:rPr>
                <w:sz w:val="16"/>
              </w:rPr>
              <w:t>Invalid shape; never guessed</w:t>
            </w:r>
          </w:p>
        </w:tc>
      </w:tr>
    </w:tbl>
    <w:p>
      <w:pPr>
        <w:spacing w:after="0"/>
      </w:pPr>
    </w:p>
    <w:p>
      <w:pPr>
        <w:pStyle w:val="Heading2"/>
      </w:pPr>
      <w:r>
        <w:t>Release criteria</w:t>
      </w:r>
    </w:p>
    <w:p>
      <w:pPr>
        <w:pStyle w:val="ListBullet"/>
        <w:spacing w:after="60"/>
      </w:pPr>
      <w:r>
        <w:t>Reconciliation equals 120; source IDs remain present; duplicate candidate count is 10; held count is 6; accepted count is 104.</w:t>
      </w:r>
    </w:p>
    <w:p>
      <w:pPr>
        <w:pStyle w:val="ListBullet"/>
        <w:spacing w:after="60"/>
      </w:pPr>
      <w:r>
        <w:t>Approved contact keys are unique, and no unresolved record appears in the approved export.</w:t>
      </w:r>
    </w:p>
    <w:p>
      <w:pPr>
        <w:pStyle w:val="ListBullet"/>
        <w:spacing w:after="60"/>
      </w:pPr>
      <w:r>
        <w:t>Exception register includes accountable owner, corrective action, and review state.</w:t>
      </w:r>
    </w:p>
    <w:p>
      <w:r>
        <w:br w:type="page"/>
      </w:r>
    </w:p>
    <w:p>
      <w:r>
        <w:rPr>
          <w:b/>
          <w:color w:val="0C7B89"/>
          <w:sz w:val="16"/>
        </w:rPr>
        <w:t>DEEP-DIVE CASE FILE  /  DATA-03</w:t>
      </w:r>
    </w:p>
    <w:p>
      <w:pPr>
        <w:pStyle w:val="Heading1"/>
      </w:pPr>
      <w:r>
        <w:t>Test protocol, risk scoring and reviewer handoff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rPr>
          <w:tblHeader/>
        </w:trPr>
        <w:tc>
          <w:tcPr>
            <w:tcW w:type="dxa" w:w="1224"/>
            <w:shd w:fill="172946"/>
          </w:tcPr>
          <w:p>
            <w:r>
              <w:rPr>
                <w:b/>
                <w:color w:val="FFFFFF"/>
                <w:sz w:val="16"/>
              </w:rPr>
              <w:t>Test ID</w:t>
            </w:r>
          </w:p>
        </w:tc>
        <w:tc>
          <w:tcPr>
            <w:tcW w:type="dxa" w:w="4824"/>
            <w:shd w:fill="172946"/>
          </w:tcPr>
          <w:p>
            <w:r>
              <w:rPr>
                <w:b/>
                <w:color w:val="FFFFFF"/>
                <w:sz w:val="16"/>
              </w:rPr>
              <w:t>Procedure</w:t>
            </w:r>
          </w:p>
        </w:tc>
        <w:tc>
          <w:tcPr>
            <w:tcW w:type="dxa" w:w="3744"/>
            <w:shd w:fill="172946"/>
          </w:tcPr>
          <w:p>
            <w:r>
              <w:rPr>
                <w:b/>
                <w:color w:val="FFFFFF"/>
                <w:sz w:val="16"/>
              </w:rPr>
              <w:t>Expected result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DV-01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Count source IDs and check uniqueness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120 unique source IDs</w:t>
            </w:r>
          </w:p>
        </w:tc>
      </w:tr>
      <w:tr>
        <w:trPr>
          <w:cantSplit/>
        </w:trPr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DV-02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Trim/lowercase emails and compute first occurrence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10 repeated emails classified duplicate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DV-03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Check blank/invalid emails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6 holds; none exported</w:t>
            </w:r>
          </w:p>
        </w:tc>
      </w:tr>
      <w:tr>
        <w:trPr>
          <w:cantSplit/>
        </w:trPr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DV-04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Compare approved IDs to published master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104 one-to-one rows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DV-05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Verify 3-way total tie-out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120 = 104 + 10 + 6</w:t>
            </w:r>
          </w:p>
        </w:tc>
      </w:tr>
      <w:tr>
        <w:trPr>
          <w:cantSplit/>
        </w:trPr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DV-06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Change an approved email to blank in Excel</w:t>
            </w:r>
          </w:p>
        </w:tc>
        <w:tc>
          <w:tcPr>
            <w:tcW w:type="dxa" w:w="3331"/>
            <w:shd w:fill="EEF5F8"/>
          </w:tcPr>
          <w:p>
            <w:pPr>
              <w:spacing w:after="0"/>
            </w:pPr>
            <w:r>
              <w:rPr>
                <w:sz w:val="16"/>
              </w:rPr>
              <w:t>Formula flags HOLD; dashboard count updates</w:t>
            </w:r>
          </w:p>
        </w:tc>
      </w:tr>
      <w:tr>
        <w:trPr>
          <w:cantSplit/>
        </w:trPr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DV-07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Type a duplicate email in practice row</w:t>
            </w:r>
          </w:p>
        </w:tc>
        <w:tc>
          <w:tcPr>
            <w:tcW w:type="dxa" w:w="3331"/>
          </w:tcPr>
          <w:p>
            <w:pPr>
              <w:spacing w:after="0"/>
            </w:pPr>
            <w:r>
              <w:rPr>
                <w:sz w:val="16"/>
              </w:rPr>
              <w:t>Duplicate detection flags review</w:t>
            </w:r>
          </w:p>
        </w:tc>
      </w:tr>
    </w:tbl>
    <w:p>
      <w:pPr>
        <w:spacing w:after="0"/>
      </w:pPr>
    </w:p>
    <w:p>
      <w:pPr>
        <w:spacing w:after="120"/>
      </w:pPr>
      <w:r>
        <w:t>Illustrative risk tiers: HIGH - unresolved personal identifiers and duplicate identity collisions; MEDIUM - casing/state normalization needing validation; LOW - harmless spacing correction. These are operational conventions for this simulation, not an external standard.</w:t>
      </w:r>
    </w:p>
    <w:p>
      <w:pPr>
        <w:pStyle w:val="Heading2"/>
      </w:pPr>
      <w:r>
        <w:t>Reproducibility and honest representation</w:t>
      </w:r>
    </w:p>
    <w:p>
      <w:pPr>
        <w:spacing w:after="120"/>
      </w:pPr>
      <w:r>
        <w:t>Work product: simulated intake register, verified master, exception register, Excel checks, and professional correspondence. An interviewee may describe the workflow they built and explain a specific exception but should not claim employer volume or real customer outcomes.</w:t>
      </w:r>
    </w:p>
    <w:p>
      <w:pPr>
        <w:pStyle w:val="Heading2"/>
      </w:pPr>
      <w:r>
        <w:t>Suggested interview explanation</w:t>
      </w:r>
    </w:p>
    <w:p>
      <w:pPr>
        <w:spacing w:after="120"/>
      </w:pPr>
      <w:r>
        <w:t>“I built a repeatable source-to-master workflow for a 120-row fictional intake batch. I separated raw values from corrected records, checked duplicates and missing fields, maintained an exception queue, and tied the final register back to all 120 source IDs.”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95" w:right="1123" w:bottom="965" w:left="1123" w:header="403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26177"/>
        <w:sz w:val="14"/>
      </w:rPr>
      <w:t>SYNTHETIC TRAINING MATERIAL  •  NO REAL CLIENT, PATIENT, OR EMPLOYER RECORDS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087D8C"/>
        <w:sz w:val="15"/>
      </w:rPr>
      <w:t>JOB-READY OPERATIONS PORTFOLIO</w:t>
    </w:r>
    <w:r>
      <w:rPr>
        <w:rFonts w:ascii="Aptos" w:hAnsi="Aptos"/>
        <w:color w:val="4C5D72"/>
        <w:sz w:val="15"/>
      </w:rPr>
      <w:t xml:space="preserve">  /  01  RECORD OPERATIONS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ptos" w:hAnsi="Aptos"/>
      <w:color w:val="1B2635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60"/>
      <w:outlineLvl w:val="0"/>
    </w:pPr>
    <w:rPr>
      <w:rFonts w:asciiTheme="majorHAnsi" w:eastAsiaTheme="majorEastAsia" w:hAnsiTheme="majorHAnsi" w:cstheme="majorBidi" w:ascii="Aptos" w:hAnsi="Aptos"/>
      <w:b/>
      <w:bCs/>
      <w:color w:val="16263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87D8C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6263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after="40"/>
    </w:pPr>
    <w:rPr>
      <w:rFonts w:ascii="Aptos" w:hAnsi="Aptos"/>
      <w:b/>
      <w:bCs/>
      <w:color w:val="4C5D72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icro">
    <w:name w:val="Micro"/>
    <w:pPr>
      <w:spacing w:after="40" w:line="252" w:lineRule="auto"/>
    </w:pPr>
    <w:rPr>
      <w:rFonts w:ascii="Aptos" w:hAnsi="Aptos"/>
      <w:color w:val="6D7B8A"/>
      <w:sz w:val="15"/>
    </w:rPr>
  </w:style>
  <w:style w:type="paragraph" w:customStyle="1" w:styleId="TableData">
    <w:name w:val="Table Data"/>
    <w:pPr>
      <w:spacing w:after="40" w:line="252" w:lineRule="auto"/>
    </w:pPr>
    <w:rPr>
      <w:rFonts w:ascii="Aptos" w:hAnsi="Aptos"/>
      <w:color w:val="1B2635"/>
      <w:sz w:val="16"/>
    </w:rPr>
  </w:style>
  <w:style w:type="paragraph" w:customStyle="1" w:styleId="TableHead">
    <w:name w:val="Table Head"/>
    <w:pPr>
      <w:spacing w:after="40" w:line="252" w:lineRule="auto"/>
    </w:pPr>
    <w:rPr>
      <w:rFonts w:ascii="Aptos" w:hAnsi="Aptos"/>
      <w:color w:val="FFFFFF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Intake &amp; Verification</dc:title>
  <dc:subject>Job-ready simulated operations portfolio artifact</dc:subject>
  <dc:creator>Jamie Christian II | Portfolio Demonstration</dc:creator>
  <cp:keywords/>
  <dc:description>Fictional simulation. Added deep-dive operational evidence and controls.</dc:description>
  <cp:lastModifiedBy/>
  <cp:revision>1</cp:revision>
  <dcterms:created xsi:type="dcterms:W3CDTF">2013-12-23T23:15:00Z</dcterms:created>
  <dcterms:modified xsi:type="dcterms:W3CDTF">2013-12-23T23:15:00Z</dcterms:modified>
  <cp:category/>
  <cp:version>3.0</cp:version>
</cp:coreProperties>
</file>