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Aptos" w:hAnsi="Aptos"/>
          <w:b/>
          <w:color w:val="087D8C"/>
          <w:sz w:val="22"/>
        </w:rPr>
        <w:t>CASE STUDY  04  /  05</w:t>
      </w:r>
    </w:p>
    <w:p>
      <w:pPr>
        <w:pStyle w:val="Title"/>
      </w:pPr>
      <w:r>
        <w:t>Medical Records &amp; Coding Quality</w:t>
      </w:r>
    </w:p>
    <w:p>
      <w:pPr>
        <w:spacing w:after="340"/>
      </w:pPr>
      <w:r>
        <w:rPr>
          <w:rFonts w:ascii="Aptos" w:hAnsi="Aptos"/>
          <w:color w:val="4C5D72"/>
          <w:sz w:val="24"/>
        </w:rPr>
        <w:t>Outpatient abstraction  •  ICD-10-CM review  •  privacy-first documentation</w:t>
      </w:r>
    </w:p>
    <w:tbl>
      <w:tblPr>
        <w:tblW w:type="auto" w:w="0"/>
        <w:tblLayout w:type="fixed"/>
        <w:tblLook w:firstColumn="1" w:firstRow="1" w:lastColumn="0" w:lastRow="0" w:noHBand="0" w:noVBand="1" w:val="04A0"/>
      </w:tblPr>
      <w:tblGrid>
        <w:gridCol w:w="9864"/>
      </w:tblGrid>
      <w:tr>
        <w:tc>
          <w:tcPr>
            <w:tcW w:type="dxa" w:w="9994"/>
            <w:shd w:fill="EAF3F5"/>
            <w:tcMar>
              <w:top w:w="160" w:type="dxa"/>
              <w:start w:w="190" w:type="dxa"/>
              <w:bottom w:w="150" w:type="dxa"/>
              <w:end w:w="190" w:type="dxa"/>
            </w:tcMar>
          </w:tcPr>
          <w:p>
            <w:r>
              <w:rPr>
                <w:rFonts w:ascii="Aptos" w:hAnsi="Aptos"/>
                <w:b/>
                <w:color w:val="087D8C"/>
                <w:sz w:val="16"/>
              </w:rPr>
              <w:t>BUSINESS SCENARIO</w:t>
            </w:r>
          </w:p>
          <w:p>
            <w:pPr>
              <w:spacing w:after="100"/>
            </w:pPr>
            <w:r>
              <w:t>A fictional outpatient clinic supplies six synthetic encounter records. Four include supported diagnoses or symptoms, while two require documentation or diagnostic holds. The reviewer must avoid speculative coding and preserve traceable QA and privacy decisions.</w:t>
            </w:r>
          </w:p>
          <w:p>
            <w:r>
              <w:rPr>
                <w:rFonts w:ascii="Aptos" w:hAnsi="Aptos"/>
                <w:b/>
                <w:color w:val="087D8C"/>
                <w:sz w:val="16"/>
              </w:rPr>
              <w:t xml:space="preserve">COMPLETED DELIVERABLE  </w:t>
            </w:r>
            <w:r>
              <w:t>De-identified-style synthetic case notes, diagnosis abstraction register, coding hold log, documentation-completeness checklist, privacy and release controls.</w:t>
            </w:r>
          </w:p>
        </w:tc>
      </w:tr>
    </w:tbl>
    <w:p/>
    <w:p>
      <w:pPr>
        <w:pStyle w:val="Heading2"/>
      </w:pPr>
      <w:r>
        <w:t>ROLE COVERAGE</w:t>
      </w:r>
    </w:p>
    <w:p>
      <w:r>
        <w:t>Health Information Technician • Medical Coding Specialist • Word Processing Specialist</w:t>
      </w:r>
    </w:p>
    <w:p>
      <w:pPr>
        <w:pStyle w:val="Heading2"/>
      </w:pPr>
      <w:r>
        <w:t>EVIDENCE AT A GLANCE</w:t>
      </w:r>
    </w:p>
    <w:tbl>
      <w:tblPr>
        <w:tblW w:type="auto" w:w="0"/>
        <w:tblLayout w:type="fixed"/>
        <w:tblLook w:firstColumn="1" w:firstRow="1" w:lastColumn="0" w:lastRow="0" w:noHBand="0" w:noVBand="1" w:val="04A0"/>
      </w:tblPr>
      <w:tblGrid>
        <w:gridCol w:w="3331"/>
        <w:gridCol w:w="3331"/>
        <w:gridCol w:w="3331"/>
      </w:tblGrid>
      <w:tr>
        <w:tc>
          <w:tcPr>
            <w:tcW w:type="dxa" w:w="3331"/>
            <w:shd w:fill="F3F6FA"/>
            <w:tcMar>
              <w:top w:w="160" w:type="dxa"/>
              <w:start w:w="120" w:type="dxa"/>
              <w:bottom w:w="160" w:type="dxa"/>
              <w:end w:w="120" w:type="dxa"/>
            </w:tcMar>
          </w:tcPr>
          <w:p>
            <w:pPr>
              <w:jc w:val="center"/>
            </w:pPr>
            <w:r>
              <w:rPr>
                <w:rFonts w:ascii="Aptos" w:hAnsi="Aptos"/>
                <w:b/>
                <w:color w:val="16263F"/>
                <w:sz w:val="34"/>
              </w:rPr>
              <w:t>6</w:t>
            </w:r>
          </w:p>
          <w:p>
            <w:pPr>
              <w:jc w:val="center"/>
            </w:pPr>
            <w:r>
              <w:rPr>
                <w:rFonts w:ascii="Aptos" w:hAnsi="Aptos"/>
                <w:b/>
                <w:color w:val="4C5D72"/>
                <w:sz w:val="14"/>
              </w:rPr>
              <w:t>SAMPLE ENCOUNTERS</w:t>
            </w:r>
          </w:p>
        </w:tc>
        <w:tc>
          <w:tcPr>
            <w:tcW w:type="dxa" w:w="3331"/>
            <w:shd w:fill="F3F6FA"/>
            <w:tcMar>
              <w:top w:w="160" w:type="dxa"/>
              <w:start w:w="120" w:type="dxa"/>
              <w:bottom w:w="160" w:type="dxa"/>
              <w:end w:w="120" w:type="dxa"/>
            </w:tcMar>
          </w:tcPr>
          <w:p>
            <w:pPr>
              <w:jc w:val="center"/>
            </w:pPr>
            <w:r>
              <w:rPr>
                <w:rFonts w:ascii="Aptos" w:hAnsi="Aptos"/>
                <w:b/>
                <w:color w:val="16263F"/>
                <w:sz w:val="34"/>
              </w:rPr>
              <w:t>4</w:t>
            </w:r>
          </w:p>
          <w:p>
            <w:pPr>
              <w:jc w:val="center"/>
            </w:pPr>
            <w:r>
              <w:rPr>
                <w:rFonts w:ascii="Aptos" w:hAnsi="Aptos"/>
                <w:b/>
                <w:color w:val="4C5D72"/>
                <w:sz w:val="14"/>
              </w:rPr>
              <w:t>CODED RECORDS</w:t>
            </w:r>
          </w:p>
        </w:tc>
        <w:tc>
          <w:tcPr>
            <w:tcW w:type="dxa" w:w="3331"/>
            <w:shd w:fill="F3F6FA"/>
            <w:tcMar>
              <w:top w:w="160" w:type="dxa"/>
              <w:start w:w="120" w:type="dxa"/>
              <w:bottom w:w="160" w:type="dxa"/>
              <w:end w:w="120" w:type="dxa"/>
            </w:tcMar>
          </w:tcPr>
          <w:p>
            <w:pPr>
              <w:jc w:val="center"/>
            </w:pPr>
            <w:r>
              <w:rPr>
                <w:rFonts w:ascii="Aptos" w:hAnsi="Aptos"/>
                <w:b/>
                <w:color w:val="16263F"/>
                <w:sz w:val="34"/>
              </w:rPr>
              <w:t>2</w:t>
            </w:r>
          </w:p>
          <w:p>
            <w:pPr>
              <w:jc w:val="center"/>
            </w:pPr>
            <w:r>
              <w:rPr>
                <w:rFonts w:ascii="Aptos" w:hAnsi="Aptos"/>
                <w:b/>
                <w:color w:val="4C5D72"/>
                <w:sz w:val="14"/>
              </w:rPr>
              <w:t>CODING HOLD</w:t>
            </w:r>
          </w:p>
        </w:tc>
      </w:tr>
    </w:tbl>
    <w:p>
      <w:pPr>
        <w:spacing w:before="520"/>
      </w:pPr>
      <w:r>
        <w:rPr>
          <w:rFonts w:ascii="Aptos" w:hAnsi="Aptos"/>
          <w:b/>
          <w:color w:val="4C5D72"/>
          <w:sz w:val="16"/>
        </w:rPr>
        <w:t xml:space="preserve">PREPARED BY  </w:t>
      </w:r>
      <w:r>
        <w:rPr>
          <w:rFonts w:ascii="Aptos" w:hAnsi="Aptos"/>
          <w:b/>
          <w:color w:val="16263F"/>
          <w:sz w:val="18"/>
        </w:rPr>
        <w:t>Jamie Christian II</w:t>
      </w:r>
    </w:p>
    <w:p>
      <w:r>
        <w:rPr>
          <w:rFonts w:ascii="Aptos" w:hAnsi="Aptos"/>
          <w:color w:val="6D7B8A"/>
          <w:sz w:val="16"/>
        </w:rPr>
        <w:t>Document status: Completed sample  |  Version: 2.0 · Evidence Edition  |  27 Oct 2026</w:t>
      </w:r>
    </w:p>
    <w:p>
      <w:r>
        <w:rPr>
          <w:rFonts w:ascii="Aptos" w:hAnsi="Aptos"/>
          <w:color w:val="6D7B8A"/>
          <w:sz w:val="16"/>
        </w:rPr>
        <w:t>Portfolio disclosure: All organizations, records, people, and transactions are fictional. This is a simulated work product, not a claim of past paid employment or client work.</w:t>
      </w:r>
    </w:p>
    <w:p>
      <w:r>
        <w:br w:type="page"/>
      </w:r>
    </w:p>
    <w:p>
      <w:pPr>
        <w:spacing w:after="60"/>
      </w:pPr>
      <w:r>
        <w:rPr>
          <w:rFonts w:ascii="Aptos" w:hAnsi="Aptos"/>
          <w:b/>
          <w:color w:val="BA8F4D"/>
          <w:sz w:val="16"/>
        </w:rPr>
        <w:t>01 / CODING SCOPE &amp; CONTROLS</w:t>
      </w:r>
    </w:p>
    <w:p>
      <w:pPr>
        <w:pStyle w:val="Heading1"/>
      </w:pPr>
      <w:r>
        <w:t>Classification standard and case boundaries</w:t>
      </w:r>
    </w:p>
    <w:tbl>
      <w:tblPr>
        <w:tblW w:type="auto" w:w="0"/>
        <w:jc w:val="center"/>
        <w:tblLayout w:type="fixed"/>
        <w:tblLook w:firstColumn="1" w:firstRow="1" w:lastColumn="0" w:lastRow="0" w:noHBand="0" w:noVBand="1" w:val="04A0"/>
      </w:tblPr>
      <w:tblGrid>
        <w:gridCol w:w="2160"/>
        <w:gridCol w:w="7632"/>
      </w:tblGrid>
      <w:tr>
        <w:trPr>
          <w:tblHeader w:val="true"/>
          <w:cantSplit/>
        </w:trPr>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Attribute</w:t>
            </w:r>
          </w:p>
        </w:tc>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Working requirement</w:t>
            </w:r>
          </w:p>
        </w:tc>
      </w:tr>
      <w:tr>
        <w:trPr>
          <w:cantSplit/>
        </w:trPr>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Encounter setting</w:t>
            </w:r>
          </w:p>
        </w:tc>
        <w:tc>
          <w:tcPr>
            <w:tcW w:type="dxa" w:w="763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Outpatient ambulatory care; fictional clinical training cases</w:t>
            </w:r>
          </w:p>
        </w:tc>
      </w:tr>
      <w:tr>
        <w:trPr>
          <w:cantSplit/>
        </w:trPr>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Service dates</w:t>
            </w:r>
          </w:p>
        </w:tc>
        <w:tc>
          <w:tcPr>
            <w:tcW w:type="dxa" w:w="763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2026-10-22 through 2026-10-26</w:t>
            </w:r>
          </w:p>
        </w:tc>
      </w:tr>
      <w:tr>
        <w:trPr>
          <w:cantSplit/>
        </w:trPr>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Code version</w:t>
            </w:r>
          </w:p>
        </w:tc>
        <w:tc>
          <w:tcPr>
            <w:tcW w:type="dxa" w:w="763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FY 2027 ICD-10-CM, effective October 1, 2026–September 30, 2027</w:t>
            </w:r>
          </w:p>
        </w:tc>
      </w:tr>
      <w:tr>
        <w:trPr>
          <w:cantSplit/>
        </w:trPr>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Code source</w:t>
            </w:r>
          </w:p>
        </w:tc>
        <w:tc>
          <w:tcPr>
            <w:tcW w:type="dxa" w:w="763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CDC / CMS official FY 2027 ICD-10-CM tabular list and guidelines</w:t>
            </w:r>
          </w:p>
        </w:tc>
      </w:tr>
      <w:tr>
        <w:trPr>
          <w:cantSplit/>
        </w:trPr>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Scope limitation</w:t>
            </w:r>
          </w:p>
        </w:tc>
        <w:tc>
          <w:tcPr>
            <w:tcW w:type="dxa" w:w="763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Diagnosis abstraction only. No CPT/HCPCS procedure coding, DRGs, reimbursement or claims submission.</w:t>
            </w:r>
          </w:p>
        </w:tc>
      </w:tr>
      <w:tr>
        <w:trPr>
          <w:cantSplit/>
        </w:trPr>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Privacy practice</w:t>
            </w:r>
          </w:p>
        </w:tc>
        <w:tc>
          <w:tcPr>
            <w:tcW w:type="dxa" w:w="763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Use synthetic encounter IDs; avoid unneeded identifiers; access limited by authorized role</w:t>
            </w:r>
          </w:p>
        </w:tc>
      </w:tr>
    </w:tbl>
    <w:p>
      <w:pPr>
        <w:spacing w:after="0"/>
      </w:pPr>
    </w:p>
    <w:p>
      <w:pPr>
        <w:pStyle w:val="Heading2"/>
      </w:pPr>
      <w:r>
        <w:t>Outpatient abstraction decision rule</w:t>
      </w:r>
    </w:p>
    <w:p>
      <w:pPr>
        <w:pStyle w:val="ListBullet"/>
        <w:spacing w:after="60"/>
        <w:ind w:left="288"/>
      </w:pPr>
      <w:r>
        <w:t>Use the final authenticated provider assessment; do not code a question-mark or ruled-out diagnosis as established in outpatient care.</w:t>
      </w:r>
    </w:p>
    <w:p>
      <w:pPr>
        <w:pStyle w:val="ListBullet"/>
        <w:spacing w:after="60"/>
        <w:ind w:left="288"/>
      </w:pPr>
      <w:r>
        <w:t>When documentation cannot support code selection or is unsigned, flag the account and request clarification; do not guess.</w:t>
      </w:r>
    </w:p>
    <w:p>
      <w:pPr>
        <w:pStyle w:val="ListBullet"/>
        <w:spacing w:after="60"/>
        <w:ind w:left="288"/>
      </w:pPr>
      <w:r>
        <w:t>Confirm code validity and instructions against the FY 2027 tabular list before actual use; code choices here are illustrative.</w:t>
      </w:r>
    </w:p>
    <w:p>
      <w:pPr>
        <w:pStyle w:val="ListBullet"/>
        <w:spacing w:after="60"/>
        <w:ind w:left="288"/>
      </w:pPr>
      <w:r>
        <w:t>Keep record completion, coding status, and disclosure authorization as distinct control decisions.</w:t>
      </w:r>
    </w:p>
    <w:tbl>
      <w:tblPr>
        <w:tblW w:type="auto" w:w="0"/>
        <w:tblLayout w:type="fixed"/>
        <w:tblLook w:firstColumn="1" w:firstRow="1" w:lastColumn="0" w:lastRow="0" w:noHBand="0" w:noVBand="1" w:val="04A0"/>
      </w:tblPr>
      <w:tblGrid>
        <w:gridCol w:w="9878"/>
      </w:tblGrid>
      <w:tr>
        <w:tc>
          <w:tcPr>
            <w:tcW w:type="dxa" w:w="9994"/>
            <w:shd w:fill="EAF3F5"/>
            <w:tcMar>
              <w:top w:w="120" w:type="dxa"/>
              <w:start w:w="140" w:type="dxa"/>
              <w:bottom w:w="120" w:type="dxa"/>
              <w:end w:w="140" w:type="dxa"/>
            </w:tcMar>
          </w:tcPr>
          <w:p>
            <w:r>
              <w:rPr>
                <w:rFonts w:ascii="Aptos" w:hAnsi="Aptos"/>
                <w:b/>
                <w:color w:val="087D8C"/>
                <w:sz w:val="16"/>
              </w:rPr>
              <w:t>TRAINING-ONLY SAFEGUARD</w:t>
            </w:r>
          </w:p>
          <w:p>
            <w:pPr>
              <w:spacing w:after="0"/>
            </w:pPr>
            <w:r>
              <w:t>All encounters and clinicians are fictional; no real patient data appears. This is a coding-workflow demonstration, not clinical advice, an authorization to bill, a credential, or a production coding determination.</w:t>
            </w:r>
          </w:p>
        </w:tc>
      </w:tr>
    </w:tbl>
    <w:p>
      <w:pPr>
        <w:spacing w:after="0"/>
      </w:pPr>
    </w:p>
    <w:p>
      <w:r>
        <w:br w:type="page"/>
      </w:r>
    </w:p>
    <w:p>
      <w:pPr>
        <w:spacing w:after="60"/>
      </w:pPr>
      <w:r>
        <w:rPr>
          <w:rFonts w:ascii="Aptos" w:hAnsi="Aptos"/>
          <w:b/>
          <w:color w:val="BA8F4D"/>
          <w:sz w:val="16"/>
        </w:rPr>
        <w:t>02 / ENCOUNTER EVIDENCE</w:t>
      </w:r>
    </w:p>
    <w:p>
      <w:pPr>
        <w:pStyle w:val="Heading1"/>
      </w:pPr>
      <w:r>
        <w:t>Synthetic clinical record excerpts</w:t>
      </w:r>
    </w:p>
    <w:p>
      <w:pPr>
        <w:pStyle w:val="Heading2"/>
      </w:pPr>
      <w:r>
        <w:t>PX-101 — outpatient established visit / 2026-10-22</w:t>
      </w:r>
    </w:p>
    <w:p>
      <w:r>
        <w:t>Chief reason: scheduled hypertension follow-up. Provider: Dr. Avery Lane. Final signed assessment: (1) Essential (primary) hypertension, controlled on the existing plan; (2) Type 2 diabetes mellitus without documented complications, monitored. Plan documents blood pressure review, home readings, follow-up interval, and continued metabolic monitoring. Signed 2026-10-22 16:20 ET.</w:t>
      </w:r>
    </w:p>
    <w:p>
      <w:pPr>
        <w:pStyle w:val="Heading2"/>
      </w:pPr>
      <w:r>
        <w:t>PX-102 — outpatient sick visit / 2026-10-23</w:t>
      </w:r>
    </w:p>
    <w:p>
      <w:r>
        <w:t>Chief reason: sore throat, congestion, and cough for three days. Provider: Dr. Devon Ellis. Final signed assessment: Acute upper respiratory infection, unspecified. The note documents supportive care instructions and return precautions. No confirmed secondary condition in the final assessment. Signed 2026-10-23 15:10 ET.</w:t>
      </w:r>
    </w:p>
    <w:p>
      <w:pPr>
        <w:pStyle w:val="Heading2"/>
      </w:pPr>
      <w:r>
        <w:t>PX-103 — outpatient follow-up / 2026-10-24</w:t>
      </w:r>
    </w:p>
    <w:p>
      <w:r>
        <w:t>Chief reason: tingling in both feet. Draft note: “diabetic neuropathy?” in an unsigned assessment. No finalized provider diagnosis, no authenticated signature, and no completed plan of care. Record received in incomplete state on 2026-10-27.</w:t>
      </w:r>
    </w:p>
    <w:p>
      <w:pPr>
        <w:pStyle w:val="Heading2"/>
      </w:pPr>
      <w:r>
        <w:t>Completeness screening</w:t>
      </w:r>
    </w:p>
    <w:tbl>
      <w:tblPr>
        <w:tblW w:type="auto" w:w="0"/>
        <w:jc w:val="center"/>
        <w:tblLayout w:type="fixed"/>
        <w:tblLook w:firstColumn="1" w:firstRow="1" w:lastColumn="0" w:lastRow="0" w:noHBand="0" w:noVBand="1" w:val="04A0"/>
      </w:tblPr>
      <w:tblGrid>
        <w:gridCol w:w="1541"/>
        <w:gridCol w:w="2117"/>
        <w:gridCol w:w="3154"/>
        <w:gridCol w:w="2981"/>
      </w:tblGrid>
      <w:tr>
        <w:trPr>
          <w:tblHeader w:val="true"/>
          <w:cantSplit/>
        </w:trPr>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Record</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Assessment signed</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Diagnosis support</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Next stage</w:t>
            </w:r>
          </w:p>
        </w:tc>
      </w:tr>
      <w:tr>
        <w:trPr>
          <w:cantSplit/>
        </w:trPr>
        <w:tc>
          <w:tcPr>
            <w:tcW w:type="dxa" w:w="154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PX-101</w:t>
            </w:r>
          </w:p>
        </w:tc>
        <w:tc>
          <w:tcPr>
            <w:tcW w:type="dxa" w:w="211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Yes</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Two established conditions</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Coding review</w:t>
            </w:r>
          </w:p>
        </w:tc>
      </w:tr>
      <w:tr>
        <w:trPr>
          <w:cantSplit/>
        </w:trPr>
        <w:tc>
          <w:tcPr>
            <w:tcW w:type="dxa" w:w="154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PX-102</w:t>
            </w:r>
          </w:p>
        </w:tc>
        <w:tc>
          <w:tcPr>
            <w:tcW w:type="dxa" w:w="211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Yes</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One established condition</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Coding review</w:t>
            </w:r>
          </w:p>
        </w:tc>
      </w:tr>
      <w:tr>
        <w:trPr>
          <w:cantSplit/>
        </w:trPr>
        <w:tc>
          <w:tcPr>
            <w:tcW w:type="dxa" w:w="154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PX-103</w:t>
            </w:r>
          </w:p>
        </w:tc>
        <w:tc>
          <w:tcPr>
            <w:tcW w:type="dxa" w:w="211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No</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Questioned diagnosis only</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HOLD: provider query</w:t>
            </w:r>
          </w:p>
        </w:tc>
      </w:tr>
    </w:tbl>
    <w:p>
      <w:pPr>
        <w:spacing w:after="0"/>
      </w:pPr>
    </w:p>
    <w:p>
      <w:r>
        <w:br w:type="page"/>
      </w:r>
    </w:p>
    <w:p>
      <w:pPr>
        <w:spacing w:after="60"/>
      </w:pPr>
      <w:r>
        <w:rPr>
          <w:rFonts w:ascii="Aptos" w:hAnsi="Aptos"/>
          <w:b/>
          <w:color w:val="BA8F4D"/>
          <w:sz w:val="16"/>
        </w:rPr>
        <w:t>03 / COMPLETED CODING ABSTRACTION</w:t>
      </w:r>
    </w:p>
    <w:p>
      <w:pPr>
        <w:pStyle w:val="Heading1"/>
      </w:pPr>
      <w:r>
        <w:t>Preliminary ICD-10-CM diagnosis register</w:t>
      </w:r>
    </w:p>
    <w:tbl>
      <w:tblPr>
        <w:tblW w:type="auto" w:w="0"/>
        <w:jc w:val="center"/>
        <w:tblLayout w:type="fixed"/>
        <w:tblLook w:firstColumn="1" w:firstRow="1" w:lastColumn="0" w:lastRow="0" w:noHBand="0" w:noVBand="1" w:val="04A0"/>
      </w:tblPr>
      <w:tblGrid>
        <w:gridCol w:w="1282"/>
        <w:gridCol w:w="1022"/>
        <w:gridCol w:w="1166"/>
        <w:gridCol w:w="4838"/>
        <w:gridCol w:w="1483"/>
      </w:tblGrid>
      <w:tr>
        <w:trPr>
          <w:tblHeader w:val="true"/>
          <w:cantSplit/>
        </w:trPr>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Visit</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Sequence</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Code</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Documented condition</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Disposition</w:t>
            </w:r>
          </w:p>
        </w:tc>
      </w:tr>
      <w:tr>
        <w:trPr>
          <w:cantSplit/>
        </w:trPr>
        <w:tc>
          <w:tcPr>
            <w:tcW w:type="dxa" w:w="128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PX-101</w:t>
            </w:r>
          </w:p>
        </w:tc>
        <w:tc>
          <w:tcPr>
            <w:tcW w:type="dxa" w:w="102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1st</w:t>
            </w:r>
          </w:p>
        </w:tc>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I10</w:t>
            </w:r>
          </w:p>
        </w:tc>
        <w:tc>
          <w:tcPr>
            <w:tcW w:type="dxa" w:w="483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Essential (primary) hypertension</w:t>
            </w:r>
          </w:p>
        </w:tc>
        <w:tc>
          <w:tcPr>
            <w:tcW w:type="dxa" w:w="148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Supported</w:t>
            </w:r>
          </w:p>
        </w:tc>
      </w:tr>
      <w:tr>
        <w:trPr>
          <w:cantSplit/>
        </w:trPr>
        <w:tc>
          <w:tcPr>
            <w:tcW w:type="dxa" w:w="128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PX-101</w:t>
            </w:r>
          </w:p>
        </w:tc>
        <w:tc>
          <w:tcPr>
            <w:tcW w:type="dxa" w:w="102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2nd</w:t>
            </w:r>
          </w:p>
        </w:tc>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E11.9</w:t>
            </w:r>
          </w:p>
        </w:tc>
        <w:tc>
          <w:tcPr>
            <w:tcW w:type="dxa" w:w="483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Type 2 diabetes mellitus without complications</w:t>
            </w:r>
          </w:p>
        </w:tc>
        <w:tc>
          <w:tcPr>
            <w:tcW w:type="dxa" w:w="148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Supported</w:t>
            </w:r>
          </w:p>
        </w:tc>
      </w:tr>
      <w:tr>
        <w:trPr>
          <w:cantSplit/>
        </w:trPr>
        <w:tc>
          <w:tcPr>
            <w:tcW w:type="dxa" w:w="128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PX-102</w:t>
            </w:r>
          </w:p>
        </w:tc>
        <w:tc>
          <w:tcPr>
            <w:tcW w:type="dxa" w:w="102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1st</w:t>
            </w:r>
          </w:p>
        </w:tc>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J06.9</w:t>
            </w:r>
          </w:p>
        </w:tc>
        <w:tc>
          <w:tcPr>
            <w:tcW w:type="dxa" w:w="483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Acute upper respiratory infection, unspecified</w:t>
            </w:r>
          </w:p>
        </w:tc>
        <w:tc>
          <w:tcPr>
            <w:tcW w:type="dxa" w:w="148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Supported</w:t>
            </w:r>
          </w:p>
        </w:tc>
      </w:tr>
      <w:tr>
        <w:trPr>
          <w:cantSplit/>
        </w:trPr>
        <w:tc>
          <w:tcPr>
            <w:tcW w:type="dxa" w:w="128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PX-103</w:t>
            </w:r>
          </w:p>
        </w:tc>
        <w:tc>
          <w:tcPr>
            <w:tcW w:type="dxa" w:w="102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w:t>
            </w:r>
          </w:p>
        </w:tc>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Not assigned</w:t>
            </w:r>
          </w:p>
        </w:tc>
        <w:tc>
          <w:tcPr>
            <w:tcW w:type="dxa" w:w="483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Unconfirmed “diabetic neuropathy?” and unsigned note</w:t>
            </w:r>
          </w:p>
        </w:tc>
        <w:tc>
          <w:tcPr>
            <w:tcW w:type="dxa" w:w="148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Held</w:t>
            </w:r>
          </w:p>
        </w:tc>
      </w:tr>
    </w:tbl>
    <w:p>
      <w:pPr>
        <w:spacing w:after="0"/>
      </w:pPr>
    </w:p>
    <w:p>
      <w:pPr>
        <w:pStyle w:val="Heading2"/>
      </w:pPr>
      <w:r>
        <w:t>Abstraction rationale</w:t>
      </w:r>
    </w:p>
    <w:p>
      <w:pPr>
        <w:ind w:left="202" w:hanging="187"/>
      </w:pPr>
      <w:r>
        <w:rPr>
          <w:rFonts w:ascii="Aptos" w:hAnsi="Aptos"/>
          <w:b/>
          <w:color w:val="087D8C"/>
          <w:sz w:val="18"/>
        </w:rPr>
        <w:t xml:space="preserve">01  </w:t>
      </w:r>
      <w:r>
        <w:t>PX-101: hypertension is the stated chief reason and is managed; the signed assessment also documents uncomplicated type 2 diabetes. Reportable conditions are supported by the provider note.</w:t>
      </w:r>
    </w:p>
    <w:p>
      <w:pPr>
        <w:ind w:left="202" w:hanging="187"/>
      </w:pPr>
      <w:r>
        <w:rPr>
          <w:rFonts w:ascii="Aptos" w:hAnsi="Aptos"/>
          <w:b/>
          <w:color w:val="087D8C"/>
          <w:sz w:val="18"/>
        </w:rPr>
        <w:t xml:space="preserve">02  </w:t>
      </w:r>
      <w:r>
        <w:t>PX-102: use the confirmed acute respiratory-infection diagnosis rather than separately coding symptoms without evidence they warrant separate reporting.</w:t>
      </w:r>
    </w:p>
    <w:p>
      <w:pPr>
        <w:ind w:left="202" w:hanging="187"/>
      </w:pPr>
      <w:r>
        <w:rPr>
          <w:rFonts w:ascii="Aptos" w:hAnsi="Aptos"/>
          <w:b/>
          <w:color w:val="087D8C"/>
          <w:sz w:val="18"/>
        </w:rPr>
        <w:t xml:space="preserve">03  </w:t>
      </w:r>
      <w:r>
        <w:t>PX-103: the uncertain text is not a confirmed outpatient diagnosis and the note is unsigned. Withhold code selection until an authenticated final assessment is available.</w:t>
      </w:r>
    </w:p>
    <w:tbl>
      <w:tblPr>
        <w:tblW w:type="auto" w:w="0"/>
        <w:tblLayout w:type="fixed"/>
        <w:tblLook w:firstColumn="1" w:firstRow="1" w:lastColumn="0" w:lastRow="0" w:noHBand="0" w:noVBand="1" w:val="04A0"/>
      </w:tblPr>
      <w:tblGrid>
        <w:gridCol w:w="9878"/>
      </w:tblGrid>
      <w:tr>
        <w:tc>
          <w:tcPr>
            <w:tcW w:type="dxa" w:w="9994"/>
            <w:shd w:fill="EAF3F5"/>
            <w:tcMar>
              <w:top w:w="120" w:type="dxa"/>
              <w:start w:w="140" w:type="dxa"/>
              <w:bottom w:w="120" w:type="dxa"/>
              <w:end w:w="140" w:type="dxa"/>
            </w:tcMar>
          </w:tcPr>
          <w:p>
            <w:r>
              <w:rPr>
                <w:rFonts w:ascii="Aptos" w:hAnsi="Aptos"/>
                <w:b/>
                <w:color w:val="087D8C"/>
                <w:sz w:val="16"/>
              </w:rPr>
              <w:t>RELEASE STATE</w:t>
            </w:r>
          </w:p>
          <w:p>
            <w:pPr>
              <w:spacing w:after="0"/>
            </w:pPr>
            <w:r>
              <w:t>PX-101 and PX-102: coding review complete for training sample; actual claim release would still require payer/provider controls. PX-103: not ready; no code assigned.</w:t>
            </w:r>
          </w:p>
        </w:tc>
      </w:tr>
    </w:tbl>
    <w:p>
      <w:pPr>
        <w:spacing w:after="0"/>
      </w:pPr>
    </w:p>
    <w:p>
      <w:r>
        <w:br w:type="page"/>
      </w:r>
    </w:p>
    <w:p>
      <w:pPr>
        <w:spacing w:after="60"/>
      </w:pPr>
      <w:r>
        <w:rPr>
          <w:rFonts w:ascii="Aptos" w:hAnsi="Aptos"/>
          <w:b/>
          <w:color w:val="BA8F4D"/>
          <w:sz w:val="16"/>
        </w:rPr>
        <w:t>04 / DEFICIENCY &amp; CLARIFICATION LOG</w:t>
      </w:r>
    </w:p>
    <w:p>
      <w:pPr>
        <w:pStyle w:val="Heading1"/>
      </w:pPr>
      <w:r>
        <w:t>Clinical documentation exceptions</w:t>
      </w:r>
    </w:p>
    <w:tbl>
      <w:tblPr>
        <w:tblW w:type="auto" w:w="0"/>
        <w:jc w:val="center"/>
        <w:tblLayout w:type="fixed"/>
        <w:tblLook w:firstColumn="1" w:firstRow="1" w:lastColumn="0" w:lastRow="0" w:noHBand="0" w:noVBand="1" w:val="04A0"/>
      </w:tblPr>
      <w:tblGrid>
        <w:gridCol w:w="1094"/>
        <w:gridCol w:w="1008"/>
        <w:gridCol w:w="2995"/>
        <w:gridCol w:w="3730"/>
        <w:gridCol w:w="965"/>
      </w:tblGrid>
      <w:tr>
        <w:trPr>
          <w:tblHeader w:val="true"/>
          <w:cantSplit/>
        </w:trPr>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ID</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Record</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Deficiency</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Owner / request</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State</w:t>
            </w:r>
          </w:p>
        </w:tc>
      </w:tr>
      <w:tr>
        <w:trPr>
          <w:cantSplit/>
        </w:trPr>
        <w:tc>
          <w:tcPr>
            <w:tcW w:type="dxa" w:w="109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HIM-01</w:t>
            </w:r>
          </w:p>
        </w:tc>
        <w:tc>
          <w:tcPr>
            <w:tcW w:type="dxa" w:w="100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PX-103</w:t>
            </w:r>
          </w:p>
        </w:tc>
        <w:tc>
          <w:tcPr>
            <w:tcW w:type="dxa" w:w="299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Unsigned clinical assessment</w:t>
            </w:r>
          </w:p>
        </w:tc>
        <w:tc>
          <w:tcPr>
            <w:tcW w:type="dxa" w:w="373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Route to treating provider for completion and authentication</w:t>
            </w:r>
          </w:p>
        </w:tc>
        <w:tc>
          <w:tcPr>
            <w:tcW w:type="dxa" w:w="96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Open</w:t>
            </w:r>
          </w:p>
        </w:tc>
      </w:tr>
      <w:tr>
        <w:trPr>
          <w:cantSplit/>
        </w:trPr>
        <w:tc>
          <w:tcPr>
            <w:tcW w:type="dxa" w:w="109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HIM-02</w:t>
            </w:r>
          </w:p>
        </w:tc>
        <w:tc>
          <w:tcPr>
            <w:tcW w:type="dxa" w:w="100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PX-103</w:t>
            </w:r>
          </w:p>
        </w:tc>
        <w:tc>
          <w:tcPr>
            <w:tcW w:type="dxa" w:w="299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Questioned diagnosis not established</w:t>
            </w:r>
          </w:p>
        </w:tc>
        <w:tc>
          <w:tcPr>
            <w:tcW w:type="dxa" w:w="373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Request final, clinically supported assessment; no leading code suggestion</w:t>
            </w:r>
          </w:p>
        </w:tc>
        <w:tc>
          <w:tcPr>
            <w:tcW w:type="dxa" w:w="96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Open</w:t>
            </w:r>
          </w:p>
        </w:tc>
      </w:tr>
      <w:tr>
        <w:trPr>
          <w:cantSplit/>
        </w:trPr>
        <w:tc>
          <w:tcPr>
            <w:tcW w:type="dxa" w:w="109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HIM-03</w:t>
            </w:r>
          </w:p>
        </w:tc>
        <w:tc>
          <w:tcPr>
            <w:tcW w:type="dxa" w:w="100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PX-101</w:t>
            </w:r>
          </w:p>
        </w:tc>
        <w:tc>
          <w:tcPr>
            <w:tcW w:type="dxa" w:w="299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No deficiency identified in sample</w:t>
            </w:r>
          </w:p>
        </w:tc>
        <w:tc>
          <w:tcPr>
            <w:tcW w:type="dxa" w:w="373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Routine completeness pass</w:t>
            </w:r>
          </w:p>
        </w:tc>
        <w:tc>
          <w:tcPr>
            <w:tcW w:type="dxa" w:w="96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Closed</w:t>
            </w:r>
          </w:p>
        </w:tc>
      </w:tr>
      <w:tr>
        <w:trPr>
          <w:cantSplit/>
        </w:trPr>
        <w:tc>
          <w:tcPr>
            <w:tcW w:type="dxa" w:w="109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HIM-04</w:t>
            </w:r>
          </w:p>
        </w:tc>
        <w:tc>
          <w:tcPr>
            <w:tcW w:type="dxa" w:w="100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PX-102</w:t>
            </w:r>
          </w:p>
        </w:tc>
        <w:tc>
          <w:tcPr>
            <w:tcW w:type="dxa" w:w="299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No deficiency identified in sample</w:t>
            </w:r>
          </w:p>
        </w:tc>
        <w:tc>
          <w:tcPr>
            <w:tcW w:type="dxa" w:w="373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Routine completeness pass</w:t>
            </w:r>
          </w:p>
        </w:tc>
        <w:tc>
          <w:tcPr>
            <w:tcW w:type="dxa" w:w="96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Closed</w:t>
            </w:r>
          </w:p>
        </w:tc>
      </w:tr>
    </w:tbl>
    <w:p>
      <w:pPr>
        <w:spacing w:after="0"/>
      </w:pPr>
    </w:p>
    <w:p>
      <w:pPr>
        <w:pStyle w:val="Heading2"/>
      </w:pPr>
      <w:r>
        <w:t>Provider clarification request (sample)</w:t>
      </w:r>
    </w:p>
    <w:tbl>
      <w:tblPr>
        <w:tblW w:type="auto" w:w="0"/>
        <w:tblLayout w:type="fixed"/>
        <w:tblLook w:firstColumn="1" w:firstRow="1" w:lastColumn="0" w:lastRow="0" w:noHBand="0" w:noVBand="1" w:val="04A0"/>
      </w:tblPr>
      <w:tblGrid>
        <w:gridCol w:w="9878"/>
      </w:tblGrid>
      <w:tr>
        <w:tc>
          <w:tcPr>
            <w:tcW w:type="dxa" w:w="9994"/>
            <w:shd w:fill="EAF3F5"/>
            <w:tcMar>
              <w:top w:w="120" w:type="dxa"/>
              <w:start w:w="140" w:type="dxa"/>
              <w:bottom w:w="120" w:type="dxa"/>
              <w:end w:w="140" w:type="dxa"/>
            </w:tcMar>
          </w:tcPr>
          <w:p>
            <w:r>
              <w:rPr>
                <w:rFonts w:ascii="Aptos" w:hAnsi="Aptos"/>
                <w:b/>
                <w:color w:val="087D8C"/>
                <w:sz w:val="16"/>
              </w:rPr>
              <w:t>NON-LEADING QUERY</w:t>
            </w:r>
          </w:p>
          <w:p>
            <w:pPr>
              <w:spacing w:after="0"/>
            </w:pPr>
            <w:r>
              <w:t>Encounter PX-103 is pending authentication. The draft assessment contains an unresolved question-mark diagnosis. Please complete and authenticate the encounter assessment, documenting the clinical condition(s) supported by your evaluation or confirming that no specific diagnosis has yet been established. The coding team will await the signed record.</w:t>
            </w:r>
          </w:p>
        </w:tc>
      </w:tr>
    </w:tbl>
    <w:p>
      <w:pPr>
        <w:spacing w:after="0"/>
      </w:pPr>
    </w:p>
    <w:p>
      <w:pPr>
        <w:pStyle w:val="Heading2"/>
      </w:pPr>
      <w:r>
        <w:t>Release-of-information routing example</w:t>
      </w:r>
    </w:p>
    <w:tbl>
      <w:tblPr>
        <w:tblW w:type="auto" w:w="0"/>
        <w:jc w:val="center"/>
        <w:tblLayout w:type="fixed"/>
        <w:tblLook w:firstColumn="1" w:firstRow="1" w:lastColumn="0" w:lastRow="0" w:noHBand="0" w:noVBand="1" w:val="04A0"/>
      </w:tblPr>
      <w:tblGrid>
        <w:gridCol w:w="2678"/>
        <w:gridCol w:w="7114"/>
      </w:tblGrid>
      <w:tr>
        <w:trPr>
          <w:tblHeader w:val="true"/>
          <w:cantSplit/>
        </w:trPr>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Request type</w:t>
            </w:r>
          </w:p>
        </w:tc>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Minimum documentation / handling</w:t>
            </w:r>
          </w:p>
        </w:tc>
      </w:tr>
      <w:tr>
        <w:trPr>
          <w:cantSplit/>
        </w:trPr>
        <w:tc>
          <w:tcPr>
            <w:tcW w:type="dxa" w:w="267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Patient access request</w:t>
            </w:r>
          </w:p>
        </w:tc>
        <w:tc>
          <w:tcPr>
            <w:tcW w:type="dxa" w:w="711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Verify identity and route through approved patient-access workflow; track receipt and response dates.</w:t>
            </w:r>
          </w:p>
        </w:tc>
      </w:tr>
      <w:tr>
        <w:trPr>
          <w:cantSplit/>
        </w:trPr>
        <w:tc>
          <w:tcPr>
            <w:tcW w:type="dxa" w:w="267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External third-party request</w:t>
            </w:r>
          </w:p>
        </w:tc>
        <w:tc>
          <w:tcPr>
            <w:tcW w:type="dxa" w:w="711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Check valid authority/authorization and applicable exceptions before release; route to privacy office.</w:t>
            </w:r>
          </w:p>
        </w:tc>
      </w:tr>
      <w:tr>
        <w:trPr>
          <w:cantSplit/>
        </w:trPr>
        <w:tc>
          <w:tcPr>
            <w:tcW w:type="dxa" w:w="267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Internal coding access</w:t>
            </w:r>
          </w:p>
        </w:tc>
        <w:tc>
          <w:tcPr>
            <w:tcW w:type="dxa" w:w="711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Role-based access to records required for coding and quality review.</w:t>
            </w:r>
          </w:p>
        </w:tc>
      </w:tr>
      <w:tr>
        <w:trPr>
          <w:cantSplit/>
        </w:trPr>
        <w:tc>
          <w:tcPr>
            <w:tcW w:type="dxa" w:w="2678"/>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Unclear or excessive scope</w:t>
            </w:r>
          </w:p>
        </w:tc>
        <w:tc>
          <w:tcPr>
            <w:tcW w:type="dxa" w:w="711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Escalate to privacy officer rather than disclose unverified records.</w:t>
            </w:r>
          </w:p>
        </w:tc>
      </w:tr>
    </w:tbl>
    <w:p>
      <w:pPr>
        <w:spacing w:after="0"/>
      </w:pPr>
    </w:p>
    <w:p>
      <w:r>
        <w:br w:type="page"/>
      </w:r>
    </w:p>
    <w:p>
      <w:pPr>
        <w:spacing w:after="60"/>
      </w:pPr>
      <w:r>
        <w:rPr>
          <w:rFonts w:ascii="Aptos" w:hAnsi="Aptos"/>
          <w:b/>
          <w:color w:val="BA8F4D"/>
          <w:sz w:val="16"/>
        </w:rPr>
        <w:t>05 / QA, POLICY &amp; REFERENCES</w:t>
      </w:r>
    </w:p>
    <w:p>
      <w:pPr>
        <w:pStyle w:val="Heading1"/>
      </w:pPr>
      <w:r>
        <w:t>Medical record QA checklist</w:t>
      </w:r>
    </w:p>
    <w:p>
      <w:pPr>
        <w:pStyle w:val="Heading2"/>
      </w:pPr>
      <w:r>
        <w:t>Sample completion controls</w:t>
      </w:r>
    </w:p>
    <w:p>
      <w:pPr>
        <w:spacing w:after="80"/>
      </w:pPr>
      <w:r>
        <w:rPr>
          <w:rFonts w:ascii="Aptos" w:hAnsi="Aptos"/>
          <w:b/>
          <w:color w:val="087D8C"/>
          <w:sz w:val="16"/>
        </w:rPr>
        <w:t xml:space="preserve">PASS  </w:t>
      </w:r>
      <w:r>
        <w:t>3/3 encounters in the original batch assigned unique fictional IDs and dates (6/6 including the evidence-edition extension).</w:t>
      </w:r>
    </w:p>
    <w:p>
      <w:pPr>
        <w:spacing w:after="80"/>
      </w:pPr>
      <w:r>
        <w:rPr>
          <w:rFonts w:ascii="Aptos" w:hAnsi="Aptos"/>
          <w:b/>
          <w:color w:val="087D8C"/>
          <w:sz w:val="16"/>
        </w:rPr>
        <w:t xml:space="preserve">PASS  </w:t>
      </w:r>
      <w:r>
        <w:t>2/2 coded encounters in the original batch contain final signed assessments (4/4 in the extended batch).</w:t>
      </w:r>
    </w:p>
    <w:p>
      <w:pPr>
        <w:spacing w:after="80"/>
      </w:pPr>
      <w:r>
        <w:rPr>
          <w:rFonts w:ascii="Aptos" w:hAnsi="Aptos"/>
          <w:b/>
          <w:color w:val="087D8C"/>
          <w:sz w:val="16"/>
        </w:rPr>
        <w:t xml:space="preserve">PASS  </w:t>
      </w:r>
      <w:r>
        <w:t>3 original coded diagnoses trace to signed assessments (5 in the complete extended register).</w:t>
      </w:r>
    </w:p>
    <w:p>
      <w:pPr>
        <w:spacing w:after="80"/>
      </w:pPr>
      <w:r>
        <w:rPr>
          <w:rFonts w:ascii="Aptos" w:hAnsi="Aptos"/>
          <w:b/>
          <w:color w:val="087D8C"/>
          <w:sz w:val="16"/>
        </w:rPr>
        <w:t xml:space="preserve">PASS  </w:t>
      </w:r>
      <w:r>
        <w:t>One unsigned outpatient encounter remained held; the evidence edition adds a second diagnostic-uncertainty hold.</w:t>
      </w:r>
    </w:p>
    <w:p>
      <w:pPr>
        <w:spacing w:after="80"/>
      </w:pPr>
      <w:r>
        <w:rPr>
          <w:rFonts w:ascii="Aptos" w:hAnsi="Aptos"/>
          <w:b/>
          <w:color w:val="087D8C"/>
          <w:sz w:val="16"/>
        </w:rPr>
        <w:t xml:space="preserve">PASS  </w:t>
      </w:r>
      <w:r>
        <w:t>No real patient names, dates of birth, addresses, insurance IDs, or actual PHI used.</w:t>
      </w:r>
    </w:p>
    <w:p>
      <w:pPr>
        <w:pStyle w:val="Heading2"/>
      </w:pPr>
      <w:r>
        <w:t>Production-workflow guardrails</w:t>
      </w:r>
    </w:p>
    <w:p>
      <w:pPr>
        <w:pStyle w:val="ListBullet"/>
        <w:spacing w:after="60"/>
        <w:ind w:left="288"/>
      </w:pPr>
      <w:r>
        <w:t>Validate each code against the encounter-date code set, Alphabetic Index, Tabular List notes, and official coding guidelines before production use.</w:t>
      </w:r>
    </w:p>
    <w:p>
      <w:pPr>
        <w:pStyle w:val="ListBullet"/>
        <w:spacing w:after="60"/>
        <w:ind w:left="288"/>
      </w:pPr>
      <w:r>
        <w:t>Code assignment is a distinct activity from record completion, authorization to disclose, and claim submission.</w:t>
      </w:r>
    </w:p>
    <w:p>
      <w:pPr>
        <w:pStyle w:val="ListBullet"/>
        <w:spacing w:after="60"/>
        <w:ind w:left="288"/>
      </w:pPr>
      <w:r>
        <w:t>Apply organization-specific minimum-necessary policies where the rule is applicable, acknowledging that HIPAA has exceptions and operational nuances.</w:t>
      </w:r>
    </w:p>
    <w:p>
      <w:pPr>
        <w:pStyle w:val="ListBullet"/>
        <w:spacing w:after="60"/>
        <w:ind w:left="288"/>
      </w:pPr>
      <w:r>
        <w:t>Use formally approved EHR, encoder, release-of-information, and audit systems for live records.</w:t>
      </w:r>
    </w:p>
    <w:p>
      <w:pPr>
        <w:pStyle w:val="Heading2"/>
      </w:pPr>
      <w:r>
        <w:t>Authoritative source register</w:t>
      </w:r>
    </w:p>
    <w:p>
      <w:r>
        <w:t>CMS, FY 2027 ICD-10-CM Official Guidelines: https://www.cms.gov/files/document/fy-2027-icd-10-cm-coding-guidelines.pdf</w:t>
      </w:r>
    </w:p>
    <w:p>
      <w:r>
        <w:t>CDC, ICD-10-CM official files: https://www.cdc.gov/nchs/icd/icd-10-cm/files.html</w:t>
      </w:r>
    </w:p>
    <w:p>
      <w:r>
        <w:t>HHS, minimum necessary guidance: https://www.hhs.gov/hipaa/for-professionals/privacy/guidance/minimum-necessary-requirement/index.html</w:t>
      </w:r>
    </w:p>
    <w:p>
      <w:pPr>
        <w:pStyle w:val="Heading2"/>
      </w:pPr>
      <w:r>
        <w:t>CONTROLLED RELEASE</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Control</w:t>
            </w:r>
          </w:p>
        </w:tc>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Final result</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Document owner</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Health Information Integrity / Coding QA</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Review state</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Synthetic abstraction reviewed; PX-103 remains on hold; no billing release</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Review date</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2026-10-27</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Data classification</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Fictional sample / no real personal, financial, or medical data</w:t>
            </w:r>
          </w:p>
        </w:tc>
      </w:tr>
    </w:tbl>
    <w:p>
      <w:pPr>
        <w:spacing w:after="0"/>
      </w:pPr>
    </w:p>
    <w:p>
      <w:r>
        <w:br w:type="page"/>
      </w:r>
    </w:p>
    <w:p>
      <w:pPr>
        <w:spacing w:after="80"/>
      </w:pPr>
      <w:r>
        <w:rPr>
          <w:b/>
          <w:color w:val="087D8C"/>
          <w:sz w:val="16"/>
        </w:rPr>
        <w:t>06 / EXTENDED CASE MIX</w:t>
      </w:r>
    </w:p>
    <w:p>
      <w:pPr>
        <w:pStyle w:val="Heading1"/>
      </w:pPr>
      <w:r>
        <w:t>Six-encounter outpatient coding review</w:t>
      </w:r>
    </w:p>
    <w:p>
      <w:r>
        <w:rPr>
          <w:b w:val="0"/>
        </w:rPr>
        <w:t>The original three illustrative cases are retained. Three new synthetic scenarios extend case-mix coverage, including a supported pain symptom, documented hyperglycemia and a second uncertainty hold. Source extracts and coded/held decisions are available as CSV to support review.</w:t>
      </w:r>
    </w:p>
    <w:tbl>
      <w:tblPr>
        <w:tblW w:type="auto" w:w="0"/>
        <w:tblLayout w:type="fixed"/>
        <w:tblLook w:firstColumn="1" w:firstRow="1" w:lastColumn="0" w:lastRow="0" w:noHBand="0" w:noVBand="1" w:val="04A0"/>
      </w:tblPr>
      <w:tblGrid>
        <w:gridCol w:w="1296"/>
        <w:gridCol w:w="3773"/>
        <w:gridCol w:w="1670"/>
        <w:gridCol w:w="3053"/>
      </w:tblGrid>
      <w:tr>
        <w:trPr>
          <w:tblHeader w:val="true"/>
        </w:trPr>
        <w:tc>
          <w:tcPr>
            <w:tcW w:type="dxa" w:w="2498"/>
            <w:vAlign w:val="center"/>
            <w:shd w:fill="16263F"/>
          </w:tcPr>
          <w:p>
            <w:r>
              <w:rPr>
                <w:b/>
                <w:color w:val="FFFFFF"/>
                <w:sz w:val="16"/>
              </w:rPr>
              <w:t>Encounter</w:t>
            </w:r>
          </w:p>
        </w:tc>
        <w:tc>
          <w:tcPr>
            <w:tcW w:type="dxa" w:w="2498"/>
            <w:vAlign w:val="center"/>
            <w:shd w:fill="16263F"/>
          </w:tcPr>
          <w:p>
            <w:r>
              <w:rPr>
                <w:b/>
                <w:color w:val="FFFFFF"/>
                <w:sz w:val="16"/>
              </w:rPr>
              <w:t>Clinical evidence</w:t>
            </w:r>
          </w:p>
        </w:tc>
        <w:tc>
          <w:tcPr>
            <w:tcW w:type="dxa" w:w="2498"/>
            <w:vAlign w:val="center"/>
            <w:shd w:fill="16263F"/>
          </w:tcPr>
          <w:p>
            <w:r>
              <w:rPr>
                <w:b/>
                <w:color w:val="FFFFFF"/>
                <w:sz w:val="16"/>
              </w:rPr>
              <w:t>Code / decision</w:t>
            </w:r>
          </w:p>
        </w:tc>
        <w:tc>
          <w:tcPr>
            <w:tcW w:type="dxa" w:w="2498"/>
            <w:vAlign w:val="center"/>
            <w:shd w:fill="16263F"/>
          </w:tcPr>
          <w:p>
            <w:r>
              <w:rPr>
                <w:b/>
                <w:color w:val="FFFFFF"/>
                <w:sz w:val="16"/>
              </w:rPr>
              <w:t>Reason</w:t>
            </w:r>
          </w:p>
        </w:tc>
      </w:tr>
      <w:tr>
        <w:trPr>
          <w:cantSplit/>
        </w:trPr>
        <w:tc>
          <w:tcPr>
            <w:tcW w:type="dxa" w:w="1296"/>
          </w:tcPr>
          <w:p>
            <w:pPr>
              <w:spacing w:after="0"/>
            </w:pPr>
            <w:r>
              <w:rPr>
                <w:sz w:val="15"/>
              </w:rPr>
              <w:t>PX-104</w:t>
            </w:r>
          </w:p>
        </w:tc>
        <w:tc>
          <w:tcPr>
            <w:tcW w:type="dxa" w:w="3773"/>
          </w:tcPr>
          <w:p>
            <w:pPr>
              <w:spacing w:after="0"/>
            </w:pPr>
            <w:r>
              <w:rPr>
                <w:sz w:val="15"/>
              </w:rPr>
              <w:t>Signed: right knee pain evaluated</w:t>
            </w:r>
          </w:p>
        </w:tc>
        <w:tc>
          <w:tcPr>
            <w:tcW w:type="dxa" w:w="1670"/>
          </w:tcPr>
          <w:p>
            <w:pPr>
              <w:spacing w:after="0"/>
            </w:pPr>
            <w:r>
              <w:rPr>
                <w:sz w:val="15"/>
              </w:rPr>
              <w:t>M25.561</w:t>
            </w:r>
          </w:p>
        </w:tc>
        <w:tc>
          <w:tcPr>
            <w:tcW w:type="dxa" w:w="3053"/>
          </w:tcPr>
          <w:p>
            <w:pPr>
              <w:spacing w:after="0"/>
            </w:pPr>
            <w:r>
              <w:rPr>
                <w:sz w:val="15"/>
              </w:rPr>
              <w:t>Pain is supported; no definitive cause claimed</w:t>
            </w:r>
          </w:p>
        </w:tc>
      </w:tr>
      <w:tr>
        <w:trPr>
          <w:cantSplit/>
        </w:trPr>
        <w:tc>
          <w:tcPr>
            <w:tcW w:type="dxa" w:w="1296"/>
            <w:shd w:fill="F3F6FA"/>
          </w:tcPr>
          <w:p>
            <w:pPr>
              <w:spacing w:after="0"/>
            </w:pPr>
            <w:r>
              <w:rPr>
                <w:sz w:val="15"/>
              </w:rPr>
              <w:t>PX-105</w:t>
            </w:r>
          </w:p>
        </w:tc>
        <w:tc>
          <w:tcPr>
            <w:tcW w:type="dxa" w:w="3773"/>
            <w:shd w:fill="F3F6FA"/>
          </w:tcPr>
          <w:p>
            <w:pPr>
              <w:spacing w:after="0"/>
            </w:pPr>
            <w:r>
              <w:rPr>
                <w:sz w:val="15"/>
              </w:rPr>
              <w:t>Signed: type 2 DM with hyperglycemia</w:t>
            </w:r>
          </w:p>
        </w:tc>
        <w:tc>
          <w:tcPr>
            <w:tcW w:type="dxa" w:w="1670"/>
            <w:shd w:fill="F3F6FA"/>
          </w:tcPr>
          <w:p>
            <w:pPr>
              <w:spacing w:after="0"/>
            </w:pPr>
            <w:r>
              <w:rPr>
                <w:sz w:val="15"/>
              </w:rPr>
              <w:t>E11.65</w:t>
            </w:r>
          </w:p>
        </w:tc>
        <w:tc>
          <w:tcPr>
            <w:tcW w:type="dxa" w:w="3053"/>
            <w:shd w:fill="F3F6FA"/>
          </w:tcPr>
          <w:p>
            <w:pPr>
              <w:spacing w:after="0"/>
            </w:pPr>
            <w:r>
              <w:rPr>
                <w:sz w:val="15"/>
              </w:rPr>
              <w:t>Provider expressly documented hyperglycemia</w:t>
            </w:r>
          </w:p>
        </w:tc>
      </w:tr>
      <w:tr>
        <w:trPr>
          <w:cantSplit/>
        </w:trPr>
        <w:tc>
          <w:tcPr>
            <w:tcW w:type="dxa" w:w="1296"/>
          </w:tcPr>
          <w:p>
            <w:pPr>
              <w:spacing w:after="0"/>
            </w:pPr>
            <w:r>
              <w:rPr>
                <w:sz w:val="15"/>
              </w:rPr>
              <w:t>PX-106</w:t>
            </w:r>
          </w:p>
        </w:tc>
        <w:tc>
          <w:tcPr>
            <w:tcW w:type="dxa" w:w="3773"/>
          </w:tcPr>
          <w:p>
            <w:pPr>
              <w:spacing w:after="0"/>
            </w:pPr>
            <w:r>
              <w:rPr>
                <w:sz w:val="15"/>
              </w:rPr>
              <w:t>Signed: possible cystitis vs vaginitis</w:t>
            </w:r>
          </w:p>
        </w:tc>
        <w:tc>
          <w:tcPr>
            <w:tcW w:type="dxa" w:w="1670"/>
          </w:tcPr>
          <w:p>
            <w:pPr>
              <w:spacing w:after="0"/>
            </w:pPr>
            <w:r>
              <w:rPr>
                <w:sz w:val="15"/>
              </w:rPr>
              <w:t>HOLD / no code</w:t>
            </w:r>
          </w:p>
        </w:tc>
        <w:tc>
          <w:tcPr>
            <w:tcW w:type="dxa" w:w="3053"/>
          </w:tcPr>
          <w:p>
            <w:pPr>
              <w:spacing w:after="0"/>
            </w:pPr>
            <w:r>
              <w:rPr>
                <w:sz w:val="15"/>
              </w:rPr>
              <w:t>Uncertain outpatient diagnosis; more documentation needed</w:t>
            </w:r>
          </w:p>
        </w:tc>
      </w:tr>
    </w:tbl>
    <w:p>
      <w:pPr>
        <w:spacing w:after="0"/>
      </w:pPr>
    </w:p>
    <w:p>
      <w:pPr>
        <w:pStyle w:val="Heading2"/>
      </w:pPr>
      <w:r>
        <w:t>Training-case controls</w:t>
      </w:r>
    </w:p>
    <w:tbl>
      <w:tblPr>
        <w:tblW w:type="auto" w:w="0"/>
        <w:tblLayout w:type="fixed"/>
        <w:tblLook w:firstColumn="1" w:firstRow="1" w:lastColumn="0" w:lastRow="0" w:noHBand="0" w:noVBand="1" w:val="04A0"/>
      </w:tblPr>
      <w:tblGrid>
        <w:gridCol w:w="5040"/>
        <w:gridCol w:w="4752"/>
      </w:tblGrid>
      <w:tr>
        <w:trPr>
          <w:tblHeader w:val="true"/>
        </w:trPr>
        <w:tc>
          <w:tcPr>
            <w:tcW w:type="dxa" w:w="4997"/>
            <w:vAlign w:val="center"/>
            <w:shd w:fill="16263F"/>
          </w:tcPr>
          <w:p>
            <w:r>
              <w:rPr>
                <w:b/>
                <w:color w:val="FFFFFF"/>
                <w:sz w:val="16"/>
              </w:rPr>
              <w:t>Audit test</w:t>
            </w:r>
          </w:p>
        </w:tc>
        <w:tc>
          <w:tcPr>
            <w:tcW w:type="dxa" w:w="4997"/>
            <w:vAlign w:val="center"/>
            <w:shd w:fill="16263F"/>
          </w:tcPr>
          <w:p>
            <w:r>
              <w:rPr>
                <w:b/>
                <w:color w:val="FFFFFF"/>
                <w:sz w:val="16"/>
              </w:rPr>
              <w:t>Result</w:t>
            </w:r>
          </w:p>
        </w:tc>
      </w:tr>
      <w:tr>
        <w:trPr>
          <w:cantSplit/>
        </w:trPr>
        <w:tc>
          <w:tcPr>
            <w:tcW w:type="dxa" w:w="5040"/>
          </w:tcPr>
          <w:p>
            <w:pPr>
              <w:spacing w:after="0"/>
            </w:pPr>
            <w:r>
              <w:rPr>
                <w:sz w:val="15"/>
              </w:rPr>
              <w:t>Source encounters</w:t>
            </w:r>
          </w:p>
        </w:tc>
        <w:tc>
          <w:tcPr>
            <w:tcW w:type="dxa" w:w="4752"/>
          </w:tcPr>
          <w:p>
            <w:pPr>
              <w:spacing w:after="0"/>
            </w:pPr>
            <w:r>
              <w:rPr>
                <w:sz w:val="15"/>
              </w:rPr>
              <w:t>6 fictional IDs, no patient identifiers</w:t>
            </w:r>
          </w:p>
        </w:tc>
      </w:tr>
      <w:tr>
        <w:trPr>
          <w:cantSplit/>
        </w:trPr>
        <w:tc>
          <w:tcPr>
            <w:tcW w:type="dxa" w:w="5040"/>
            <w:shd w:fill="F3F6FA"/>
          </w:tcPr>
          <w:p>
            <w:pPr>
              <w:spacing w:after="0"/>
            </w:pPr>
            <w:r>
              <w:rPr>
                <w:sz w:val="15"/>
              </w:rPr>
              <w:t>Final assessments with confirmed conditions</w:t>
            </w:r>
          </w:p>
        </w:tc>
        <w:tc>
          <w:tcPr>
            <w:tcW w:type="dxa" w:w="4752"/>
            <w:shd w:fill="F3F6FA"/>
          </w:tcPr>
          <w:p>
            <w:pPr>
              <w:spacing w:after="0"/>
            </w:pPr>
            <w:r>
              <w:rPr>
                <w:sz w:val="15"/>
              </w:rPr>
              <w:t>PX-101, PX-102, PX-104, PX-105</w:t>
            </w:r>
          </w:p>
        </w:tc>
      </w:tr>
      <w:tr>
        <w:trPr>
          <w:cantSplit/>
        </w:trPr>
        <w:tc>
          <w:tcPr>
            <w:tcW w:type="dxa" w:w="5040"/>
          </w:tcPr>
          <w:p>
            <w:pPr>
              <w:spacing w:after="0"/>
            </w:pPr>
            <w:r>
              <w:rPr>
                <w:sz w:val="15"/>
              </w:rPr>
              <w:t>Unresolved documentation / diagnostic questions</w:t>
            </w:r>
          </w:p>
        </w:tc>
        <w:tc>
          <w:tcPr>
            <w:tcW w:type="dxa" w:w="4752"/>
          </w:tcPr>
          <w:p>
            <w:pPr>
              <w:spacing w:after="0"/>
            </w:pPr>
            <w:r>
              <w:rPr>
                <w:sz w:val="15"/>
              </w:rPr>
              <w:t>PX-103 and PX-106 require human review</w:t>
            </w:r>
          </w:p>
        </w:tc>
      </w:tr>
      <w:tr>
        <w:trPr>
          <w:cantSplit/>
        </w:trPr>
        <w:tc>
          <w:tcPr>
            <w:tcW w:type="dxa" w:w="5040"/>
            <w:shd w:fill="F3F6FA"/>
          </w:tcPr>
          <w:p>
            <w:pPr>
              <w:spacing w:after="0"/>
            </w:pPr>
            <w:r>
              <w:rPr>
                <w:sz w:val="15"/>
              </w:rPr>
              <w:t>Known codes assigned in training register</w:t>
            </w:r>
          </w:p>
        </w:tc>
        <w:tc>
          <w:tcPr>
            <w:tcW w:type="dxa" w:w="4752"/>
            <w:shd w:fill="F3F6FA"/>
          </w:tcPr>
          <w:p>
            <w:pPr>
              <w:spacing w:after="0"/>
            </w:pPr>
            <w:r>
              <w:rPr>
                <w:sz w:val="15"/>
              </w:rPr>
              <w:t>5 diagnosis-code entries across 4 encounters</w:t>
            </w:r>
          </w:p>
        </w:tc>
      </w:tr>
      <w:tr>
        <w:trPr>
          <w:cantSplit/>
        </w:trPr>
        <w:tc>
          <w:tcPr>
            <w:tcW w:type="dxa" w:w="5040"/>
          </w:tcPr>
          <w:p>
            <w:pPr>
              <w:spacing w:after="0"/>
            </w:pPr>
            <w:r>
              <w:rPr>
                <w:sz w:val="15"/>
              </w:rPr>
              <w:t>Billing / claims submission</w:t>
            </w:r>
          </w:p>
        </w:tc>
        <w:tc>
          <w:tcPr>
            <w:tcW w:type="dxa" w:w="4752"/>
          </w:tcPr>
          <w:p>
            <w:pPr>
              <w:spacing w:after="0"/>
            </w:pPr>
            <w:r>
              <w:rPr>
                <w:sz w:val="15"/>
              </w:rPr>
              <w:t>None / explicitly excluded</w:t>
            </w:r>
          </w:p>
        </w:tc>
      </w:tr>
    </w:tbl>
    <w:p>
      <w:pPr>
        <w:spacing w:after="0"/>
      </w:pPr>
    </w:p>
    <w:p>
      <w:r>
        <w:br w:type="page"/>
      </w:r>
    </w:p>
    <w:p>
      <w:pPr>
        <w:spacing w:after="80"/>
      </w:pPr>
      <w:r>
        <w:rPr>
          <w:b/>
          <w:color w:val="087D8C"/>
          <w:sz w:val="16"/>
        </w:rPr>
        <w:t>07 / CODING DECISION QUALITY</w:t>
      </w:r>
    </w:p>
    <w:p>
      <w:pPr>
        <w:pStyle w:val="Heading1"/>
      </w:pPr>
      <w:r>
        <w:t>Provider query, code validation and privacy safeguards</w:t>
      </w:r>
    </w:p>
    <w:p>
      <w:pPr>
        <w:pStyle w:val="Heading2"/>
      </w:pPr>
      <w:r>
        <w:t>Non-leading follow-up example for PX-106</w:t>
      </w:r>
    </w:p>
    <w:p>
      <w:r>
        <w:rPr>
          <w:b w:val="0"/>
        </w:rPr>
        <w:t>Please review and finalize the assessment for encounter PX-106. The signed note lists alternative possible conditions but does not identify a confirmed diagnosis. Document the condition(s) established at this encounter, or the symptoms/findings evaluated, and complete any appropriate follow-up. The coding team will assign codes only from supported final documentation.</w:t>
      </w:r>
    </w:p>
    <w:p>
      <w:pPr>
        <w:pStyle w:val="Heading2"/>
      </w:pPr>
      <w:r>
        <w:t>Medical coder production-readiness checklist</w:t>
      </w:r>
    </w:p>
    <w:p>
      <w:pPr>
        <w:pStyle w:val="ListBullet"/>
        <w:spacing w:after="60"/>
      </w:pPr>
      <w:r>
        <w:t>Check encounter date and coding system; use FY 2027 ICD-10-CM for October 2026 services.</w:t>
      </w:r>
    </w:p>
    <w:p>
      <w:pPr>
        <w:pStyle w:val="ListBullet"/>
        <w:spacing w:after="60"/>
      </w:pPr>
      <w:r>
        <w:t>Start with the provider note and complete record; then check official Alphabetic Index and Tabular List.</w:t>
      </w:r>
    </w:p>
    <w:p>
      <w:pPr>
        <w:pStyle w:val="ListBullet"/>
        <w:spacing w:after="60"/>
      </w:pPr>
      <w:r>
        <w:t>Verify Includes, Excludes, code-first/use-additional-code instructions and sequencing in full context.</w:t>
      </w:r>
    </w:p>
    <w:p>
      <w:pPr>
        <w:pStyle w:val="ListBullet"/>
        <w:spacing w:after="60"/>
      </w:pPr>
      <w:r>
        <w:t>Treat suspected diagnoses differently by setting: outpatient suspected diagnoses are not reported as established.</w:t>
      </w:r>
    </w:p>
    <w:p>
      <w:pPr>
        <w:pStyle w:val="ListBullet"/>
        <w:spacing w:after="60"/>
      </w:pPr>
      <w:r>
        <w:t>Do not assume that an authenticated note is automatically a claim-release approval.</w:t>
      </w:r>
    </w:p>
    <w:p>
      <w:pPr>
        <w:pStyle w:val="ListBullet"/>
        <w:spacing w:after="60"/>
      </w:pPr>
      <w:r>
        <w:t>No patient identities, payer IDs, insurance numbers or real protected data are included.</w:t>
      </w:r>
    </w:p>
    <w:p>
      <w:r>
        <w:rPr>
          <w:b w:val="0"/>
        </w:rPr>
        <w:t>Reference: CMS FY 2027 Official Guidelines for Coding and Reporting, including Section IV outpatient reporting rules; CDC official FY 2027 code files. These are deliberately simple exercises, not proof of specialty medical coding proficiency or credentials.</w:t>
      </w:r>
    </w:p>
    <w:p>
      <w:r>
        <w:br w:type="page"/>
      </w:r>
    </w:p>
    <w:p>
      <w:r>
        <w:rPr>
          <w:b/>
          <w:color w:val="0C7B89"/>
          <w:sz w:val="16"/>
        </w:rPr>
        <w:t>DEEP-DIVE CASE FILE  /  HIM-01</w:t>
      </w:r>
    </w:p>
    <w:p>
      <w:pPr>
        <w:pStyle w:val="Heading1"/>
      </w:pPr>
      <w:r>
        <w:t>Expanded HIM quality assurance: 12 encounters</w:t>
      </w:r>
    </w:p>
    <w:p>
      <w:pPr>
        <w:spacing w:after="120"/>
      </w:pPr>
      <w:r>
        <w:t>The original six synthetic outpatient encounters are retained. Six additional encounters test authentication, outpatient uncertainty, laterality, encounter-purpose confirmation, and documentation clarification. Codes are intentionally NOT invented for the new cases; a credentialed coder must verify the official FY 2027 code set and conventions before a real release.</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trPr>
        <w:tc>
          <w:tcPr>
            <w:tcW w:type="dxa" w:w="1008"/>
            <w:shd w:fill="172946"/>
          </w:tcPr>
          <w:p>
            <w:r>
              <w:rPr>
                <w:b/>
                <w:color w:val="FFFFFF"/>
                <w:sz w:val="16"/>
              </w:rPr>
              <w:t>Case</w:t>
            </w:r>
          </w:p>
        </w:tc>
        <w:tc>
          <w:tcPr>
            <w:tcW w:type="dxa" w:w="1296"/>
            <w:shd w:fill="172946"/>
          </w:tcPr>
          <w:p>
            <w:r>
              <w:rPr>
                <w:b/>
                <w:color w:val="FFFFFF"/>
                <w:sz w:val="16"/>
              </w:rPr>
              <w:t>Document status</w:t>
            </w:r>
          </w:p>
        </w:tc>
        <w:tc>
          <w:tcPr>
            <w:tcW w:type="dxa" w:w="3096"/>
            <w:shd w:fill="172946"/>
          </w:tcPr>
          <w:p>
            <w:r>
              <w:rPr>
                <w:b/>
                <w:color w:val="FFFFFF"/>
                <w:sz w:val="16"/>
              </w:rPr>
              <w:t>Release stage</w:t>
            </w:r>
          </w:p>
        </w:tc>
        <w:tc>
          <w:tcPr>
            <w:tcW w:type="dxa" w:w="4392"/>
            <w:shd w:fill="172946"/>
          </w:tcPr>
          <w:p>
            <w:r>
              <w:rPr>
                <w:b/>
                <w:color w:val="FFFFFF"/>
                <w:sz w:val="16"/>
              </w:rPr>
              <w:t>Reason</w:t>
            </w:r>
          </w:p>
        </w:tc>
      </w:tr>
      <w:tr>
        <w:trPr>
          <w:cantSplit/>
        </w:trPr>
        <w:tc>
          <w:tcPr>
            <w:tcW w:type="dxa" w:w="2498"/>
          </w:tcPr>
          <w:p>
            <w:pPr>
              <w:spacing w:after="0"/>
            </w:pPr>
            <w:r>
              <w:rPr>
                <w:sz w:val="16"/>
              </w:rPr>
              <w:t>PX-107</w:t>
            </w:r>
          </w:p>
        </w:tc>
        <w:tc>
          <w:tcPr>
            <w:tcW w:type="dxa" w:w="2498"/>
          </w:tcPr>
          <w:p>
            <w:pPr>
              <w:spacing w:after="0"/>
            </w:pPr>
            <w:r>
              <w:rPr>
                <w:sz w:val="16"/>
              </w:rPr>
              <w:t>Signed</w:t>
            </w:r>
          </w:p>
        </w:tc>
        <w:tc>
          <w:tcPr>
            <w:tcW w:type="dxa" w:w="2498"/>
          </w:tcPr>
          <w:p>
            <w:pPr>
              <w:spacing w:after="0"/>
            </w:pPr>
            <w:r>
              <w:rPr>
                <w:sz w:val="16"/>
              </w:rPr>
              <w:t>Code review - symptom only</w:t>
            </w:r>
          </w:p>
        </w:tc>
        <w:tc>
          <w:tcPr>
            <w:tcW w:type="dxa" w:w="2498"/>
          </w:tcPr>
          <w:p>
            <w:pPr>
              <w:spacing w:after="0"/>
            </w:pPr>
            <w:r>
              <w:rPr>
                <w:sz w:val="16"/>
              </w:rPr>
              <w:t>Do not infer disease cause</w:t>
            </w:r>
          </w:p>
        </w:tc>
      </w:tr>
      <w:tr>
        <w:trPr>
          <w:cantSplit/>
        </w:trPr>
        <w:tc>
          <w:tcPr>
            <w:tcW w:type="dxa" w:w="2498"/>
            <w:shd w:fill="EEF5F8"/>
          </w:tcPr>
          <w:p>
            <w:pPr>
              <w:spacing w:after="0"/>
            </w:pPr>
            <w:r>
              <w:rPr>
                <w:sz w:val="16"/>
              </w:rPr>
              <w:t>PX-108</w:t>
            </w:r>
          </w:p>
        </w:tc>
        <w:tc>
          <w:tcPr>
            <w:tcW w:type="dxa" w:w="2498"/>
            <w:shd w:fill="EEF5F8"/>
          </w:tcPr>
          <w:p>
            <w:pPr>
              <w:spacing w:after="0"/>
            </w:pPr>
            <w:r>
              <w:rPr>
                <w:sz w:val="16"/>
              </w:rPr>
              <w:t>Unsigned</w:t>
            </w:r>
          </w:p>
        </w:tc>
        <w:tc>
          <w:tcPr>
            <w:tcW w:type="dxa" w:w="2498"/>
            <w:shd w:fill="EEF5F8"/>
          </w:tcPr>
          <w:p>
            <w:pPr>
              <w:spacing w:after="0"/>
            </w:pPr>
            <w:r>
              <w:rPr>
                <w:sz w:val="16"/>
              </w:rPr>
              <w:t>HOLD - unsigned</w:t>
            </w:r>
          </w:p>
        </w:tc>
        <w:tc>
          <w:tcPr>
            <w:tcW w:type="dxa" w:w="2498"/>
            <w:shd w:fill="EEF5F8"/>
          </w:tcPr>
          <w:p>
            <w:pPr>
              <w:spacing w:after="0"/>
            </w:pPr>
            <w:r>
              <w:rPr>
                <w:sz w:val="16"/>
              </w:rPr>
              <w:t>Obtain authenticated note</w:t>
            </w:r>
          </w:p>
        </w:tc>
      </w:tr>
      <w:tr>
        <w:trPr>
          <w:cantSplit/>
        </w:trPr>
        <w:tc>
          <w:tcPr>
            <w:tcW w:type="dxa" w:w="2498"/>
          </w:tcPr>
          <w:p>
            <w:pPr>
              <w:spacing w:after="0"/>
            </w:pPr>
            <w:r>
              <w:rPr>
                <w:sz w:val="16"/>
              </w:rPr>
              <w:t>PX-109</w:t>
            </w:r>
          </w:p>
        </w:tc>
        <w:tc>
          <w:tcPr>
            <w:tcW w:type="dxa" w:w="2498"/>
          </w:tcPr>
          <w:p>
            <w:pPr>
              <w:spacing w:after="0"/>
            </w:pPr>
            <w:r>
              <w:rPr>
                <w:sz w:val="16"/>
              </w:rPr>
              <w:t>Signed</w:t>
            </w:r>
          </w:p>
        </w:tc>
        <w:tc>
          <w:tcPr>
            <w:tcW w:type="dxa" w:w="2498"/>
          </w:tcPr>
          <w:p>
            <w:pPr>
              <w:spacing w:after="0"/>
            </w:pPr>
            <w:r>
              <w:rPr>
                <w:sz w:val="16"/>
              </w:rPr>
              <w:t>Code review - history context</w:t>
            </w:r>
          </w:p>
        </w:tc>
        <w:tc>
          <w:tcPr>
            <w:tcW w:type="dxa" w:w="2498"/>
          </w:tcPr>
          <w:p>
            <w:pPr>
              <w:spacing w:after="0"/>
            </w:pPr>
            <w:r>
              <w:rPr>
                <w:sz w:val="16"/>
              </w:rPr>
              <w:t>Review documentation and official index</w:t>
            </w:r>
          </w:p>
        </w:tc>
      </w:tr>
      <w:tr>
        <w:trPr>
          <w:cantSplit/>
        </w:trPr>
        <w:tc>
          <w:tcPr>
            <w:tcW w:type="dxa" w:w="2498"/>
            <w:shd w:fill="EEF5F8"/>
          </w:tcPr>
          <w:p>
            <w:pPr>
              <w:spacing w:after="0"/>
            </w:pPr>
            <w:r>
              <w:rPr>
                <w:sz w:val="16"/>
              </w:rPr>
              <w:t>PX-110</w:t>
            </w:r>
          </w:p>
        </w:tc>
        <w:tc>
          <w:tcPr>
            <w:tcW w:type="dxa" w:w="2498"/>
            <w:shd w:fill="EEF5F8"/>
          </w:tcPr>
          <w:p>
            <w:pPr>
              <w:spacing w:after="0"/>
            </w:pPr>
            <w:r>
              <w:rPr>
                <w:sz w:val="16"/>
              </w:rPr>
              <w:t>Signed</w:t>
            </w:r>
          </w:p>
        </w:tc>
        <w:tc>
          <w:tcPr>
            <w:tcW w:type="dxa" w:w="2498"/>
            <w:shd w:fill="EEF5F8"/>
          </w:tcPr>
          <w:p>
            <w:pPr>
              <w:spacing w:after="0"/>
            </w:pPr>
            <w:r>
              <w:rPr>
                <w:sz w:val="16"/>
              </w:rPr>
              <w:t>HOLD - uncertain diagnosis</w:t>
            </w:r>
          </w:p>
        </w:tc>
        <w:tc>
          <w:tcPr>
            <w:tcW w:type="dxa" w:w="2498"/>
            <w:shd w:fill="EEF5F8"/>
          </w:tcPr>
          <w:p>
            <w:pPr>
              <w:spacing w:after="0"/>
            </w:pPr>
            <w:r>
              <w:rPr>
                <w:sz w:val="16"/>
              </w:rPr>
              <w:t>Do not code suspected as confirmed outpatient diagnosis</w:t>
            </w:r>
          </w:p>
        </w:tc>
      </w:tr>
      <w:tr>
        <w:trPr>
          <w:cantSplit/>
        </w:trPr>
        <w:tc>
          <w:tcPr>
            <w:tcW w:type="dxa" w:w="2498"/>
          </w:tcPr>
          <w:p>
            <w:pPr>
              <w:spacing w:after="0"/>
            </w:pPr>
            <w:r>
              <w:rPr>
                <w:sz w:val="16"/>
              </w:rPr>
              <w:t>PX-111</w:t>
            </w:r>
          </w:p>
        </w:tc>
        <w:tc>
          <w:tcPr>
            <w:tcW w:type="dxa" w:w="2498"/>
          </w:tcPr>
          <w:p>
            <w:pPr>
              <w:spacing w:after="0"/>
            </w:pPr>
            <w:r>
              <w:rPr>
                <w:sz w:val="16"/>
              </w:rPr>
              <w:t>Signed</w:t>
            </w:r>
          </w:p>
        </w:tc>
        <w:tc>
          <w:tcPr>
            <w:tcW w:type="dxa" w:w="2498"/>
          </w:tcPr>
          <w:p>
            <w:pPr>
              <w:spacing w:after="0"/>
            </w:pPr>
            <w:r>
              <w:rPr>
                <w:sz w:val="16"/>
              </w:rPr>
              <w:t>HOLD - specificity</w:t>
            </w:r>
          </w:p>
        </w:tc>
        <w:tc>
          <w:tcPr>
            <w:tcW w:type="dxa" w:w="2498"/>
          </w:tcPr>
          <w:p>
            <w:pPr>
              <w:spacing w:after="0"/>
            </w:pPr>
            <w:r>
              <w:rPr>
                <w:sz w:val="16"/>
              </w:rPr>
              <w:t>Seek non-leading clarification</w:t>
            </w:r>
          </w:p>
        </w:tc>
      </w:tr>
      <w:tr>
        <w:trPr>
          <w:cantSplit/>
        </w:trPr>
        <w:tc>
          <w:tcPr>
            <w:tcW w:type="dxa" w:w="2498"/>
            <w:shd w:fill="EEF5F8"/>
          </w:tcPr>
          <w:p>
            <w:pPr>
              <w:spacing w:after="0"/>
            </w:pPr>
            <w:r>
              <w:rPr>
                <w:sz w:val="16"/>
              </w:rPr>
              <w:t>PX-112</w:t>
            </w:r>
          </w:p>
        </w:tc>
        <w:tc>
          <w:tcPr>
            <w:tcW w:type="dxa" w:w="2498"/>
            <w:shd w:fill="EEF5F8"/>
          </w:tcPr>
          <w:p>
            <w:pPr>
              <w:spacing w:after="0"/>
            </w:pPr>
            <w:r>
              <w:rPr>
                <w:sz w:val="16"/>
              </w:rPr>
              <w:t>Signed</w:t>
            </w:r>
          </w:p>
        </w:tc>
        <w:tc>
          <w:tcPr>
            <w:tcW w:type="dxa" w:w="2498"/>
            <w:shd w:fill="EEF5F8"/>
          </w:tcPr>
          <w:p>
            <w:pPr>
              <w:spacing w:after="0"/>
            </w:pPr>
            <w:r>
              <w:rPr>
                <w:sz w:val="16"/>
              </w:rPr>
              <w:t>Code review - verify purpose</w:t>
            </w:r>
          </w:p>
        </w:tc>
        <w:tc>
          <w:tcPr>
            <w:tcW w:type="dxa" w:w="2498"/>
            <w:shd w:fill="EEF5F8"/>
          </w:tcPr>
          <w:p>
            <w:pPr>
              <w:spacing w:after="0"/>
            </w:pPr>
            <w:r>
              <w:rPr>
                <w:sz w:val="16"/>
              </w:rPr>
              <w:t>Check official code set and encounter facts</w:t>
            </w:r>
          </w:p>
        </w:tc>
      </w:tr>
    </w:tbl>
    <w:p>
      <w:pPr>
        <w:spacing w:after="0"/>
      </w:pPr>
    </w:p>
    <w:p>
      <w:pPr>
        <w:pStyle w:val="Heading2"/>
      </w:pPr>
      <w:r>
        <w:t>Version and environment control</w:t>
      </w:r>
    </w:p>
    <w:p>
      <w:pPr>
        <w:spacing w:after="120"/>
      </w:pPr>
      <w:r>
        <w:t>The FY 2027 ICD-10-CM code set applies to eligible encounters dated October 1, 2026 through September 30, 2027. ICD-10-CM Tabular List and Alphabetic Index instructions take priority over guideline summaries. A real coder must review the complete documented encounter, code-selection notes and payer requirements. The training package is not a coding credential or a billable coding product.</w:t>
      </w:r>
    </w:p>
    <w:p>
      <w:pPr>
        <w:spacing w:after="120"/>
      </w:pPr>
      <w:r>
        <w:t>Official sources: https://www.cdc.gov/nchs/icd/icd-10-cm/files.html and https://www.cms.gov/files/document/fy-2027-icd-10-cm-coding-guidelines.pdf</w:t>
      </w:r>
    </w:p>
    <w:p>
      <w:r>
        <w:br w:type="page"/>
      </w:r>
    </w:p>
    <w:p>
      <w:r>
        <w:rPr>
          <w:b/>
          <w:color w:val="0C7B89"/>
          <w:sz w:val="16"/>
        </w:rPr>
        <w:t>DEEP-DIVE CASE FILE  /  HIM-02</w:t>
      </w:r>
    </w:p>
    <w:p>
      <w:pPr>
        <w:pStyle w:val="Heading1"/>
      </w:pPr>
      <w:r>
        <w:t>Patient-information handling and neutral provider queries</w:t>
      </w:r>
    </w:p>
    <w:tbl>
      <w:tblPr>
        <w:tblStyle w:val="TableGrid"/>
        <w:tblW w:type="auto" w:w="0"/>
        <w:tblLayout w:type="fixed"/>
        <w:tblLook w:firstColumn="1" w:firstRow="1" w:lastColumn="0" w:lastRow="0" w:noHBand="0" w:noVBand="1" w:val="04A0"/>
      </w:tblPr>
      <w:tblGrid>
        <w:gridCol w:w="3331"/>
        <w:gridCol w:w="3331"/>
        <w:gridCol w:w="3331"/>
      </w:tblGrid>
      <w:tr>
        <w:trPr>
          <w:tblHeader/>
        </w:trPr>
        <w:tc>
          <w:tcPr>
            <w:tcW w:type="dxa" w:w="2376"/>
            <w:shd w:fill="172946"/>
          </w:tcPr>
          <w:p>
            <w:r>
              <w:rPr>
                <w:b/>
                <w:color w:val="FFFFFF"/>
                <w:sz w:val="16"/>
              </w:rPr>
              <w:t>Control</w:t>
            </w:r>
          </w:p>
        </w:tc>
        <w:tc>
          <w:tcPr>
            <w:tcW w:type="dxa" w:w="3888"/>
            <w:shd w:fill="172946"/>
          </w:tcPr>
          <w:p>
            <w:r>
              <w:rPr>
                <w:b/>
                <w:color w:val="FFFFFF"/>
                <w:sz w:val="16"/>
              </w:rPr>
              <w:t>Pass criterion</w:t>
            </w:r>
          </w:p>
        </w:tc>
        <w:tc>
          <w:tcPr>
            <w:tcW w:type="dxa" w:w="3528"/>
            <w:shd w:fill="172946"/>
          </w:tcPr>
          <w:p>
            <w:r>
              <w:rPr>
                <w:b/>
                <w:color w:val="FFFFFF"/>
                <w:sz w:val="16"/>
              </w:rPr>
              <w:t>Example hold</w:t>
            </w:r>
          </w:p>
        </w:tc>
      </w:tr>
      <w:tr>
        <w:trPr>
          <w:cantSplit/>
        </w:trPr>
        <w:tc>
          <w:tcPr>
            <w:tcW w:type="dxa" w:w="3331"/>
          </w:tcPr>
          <w:p>
            <w:pPr>
              <w:spacing w:after="0"/>
            </w:pPr>
            <w:r>
              <w:rPr>
                <w:sz w:val="16"/>
              </w:rPr>
              <w:t>Authentication</w:t>
            </w:r>
          </w:p>
        </w:tc>
        <w:tc>
          <w:tcPr>
            <w:tcW w:type="dxa" w:w="3331"/>
          </w:tcPr>
          <w:p>
            <w:pPr>
              <w:spacing w:after="0"/>
            </w:pPr>
            <w:r>
              <w:rPr>
                <w:sz w:val="16"/>
              </w:rPr>
              <w:t>Signed provider assessment available</w:t>
            </w:r>
          </w:p>
        </w:tc>
        <w:tc>
          <w:tcPr>
            <w:tcW w:type="dxa" w:w="3331"/>
          </w:tcPr>
          <w:p>
            <w:pPr>
              <w:spacing w:after="0"/>
            </w:pPr>
            <w:r>
              <w:rPr>
                <w:sz w:val="16"/>
              </w:rPr>
              <w:t>PX-108 unsigned documentation</w:t>
            </w:r>
          </w:p>
        </w:tc>
      </w:tr>
      <w:tr>
        <w:trPr>
          <w:cantSplit/>
        </w:trPr>
        <w:tc>
          <w:tcPr>
            <w:tcW w:type="dxa" w:w="3331"/>
            <w:shd w:fill="EEF5F8"/>
          </w:tcPr>
          <w:p>
            <w:pPr>
              <w:spacing w:after="0"/>
            </w:pPr>
            <w:r>
              <w:rPr>
                <w:sz w:val="16"/>
              </w:rPr>
              <w:t>Specificity</w:t>
            </w:r>
          </w:p>
        </w:tc>
        <w:tc>
          <w:tcPr>
            <w:tcW w:type="dxa" w:w="3331"/>
            <w:shd w:fill="EEF5F8"/>
          </w:tcPr>
          <w:p>
            <w:pPr>
              <w:spacing w:after="0"/>
            </w:pPr>
            <w:r>
              <w:rPr>
                <w:sz w:val="16"/>
              </w:rPr>
              <w:t>Clinically documented detail supports selected code</w:t>
            </w:r>
          </w:p>
        </w:tc>
        <w:tc>
          <w:tcPr>
            <w:tcW w:type="dxa" w:w="3331"/>
            <w:shd w:fill="EEF5F8"/>
          </w:tcPr>
          <w:p>
            <w:pPr>
              <w:spacing w:after="0"/>
            </w:pPr>
            <w:r>
              <w:rPr>
                <w:sz w:val="16"/>
              </w:rPr>
              <w:t>PX-111 missing laterality</w:t>
            </w:r>
          </w:p>
        </w:tc>
      </w:tr>
      <w:tr>
        <w:trPr>
          <w:cantSplit/>
        </w:trPr>
        <w:tc>
          <w:tcPr>
            <w:tcW w:type="dxa" w:w="3331"/>
          </w:tcPr>
          <w:p>
            <w:pPr>
              <w:spacing w:after="0"/>
            </w:pPr>
            <w:r>
              <w:rPr>
                <w:sz w:val="16"/>
              </w:rPr>
              <w:t>Diagnostic certainty</w:t>
            </w:r>
          </w:p>
        </w:tc>
        <w:tc>
          <w:tcPr>
            <w:tcW w:type="dxa" w:w="3331"/>
          </w:tcPr>
          <w:p>
            <w:pPr>
              <w:spacing w:after="0"/>
            </w:pPr>
            <w:r>
              <w:rPr>
                <w:sz w:val="16"/>
              </w:rPr>
              <w:t>Do not treat “possible” as confirmed outpatient diagnosis</w:t>
            </w:r>
          </w:p>
        </w:tc>
        <w:tc>
          <w:tcPr>
            <w:tcW w:type="dxa" w:w="3331"/>
          </w:tcPr>
          <w:p>
            <w:pPr>
              <w:spacing w:after="0"/>
            </w:pPr>
            <w:r>
              <w:rPr>
                <w:sz w:val="16"/>
              </w:rPr>
              <w:t>PX-110 possible infection</w:t>
            </w:r>
          </w:p>
        </w:tc>
      </w:tr>
      <w:tr>
        <w:trPr>
          <w:cantSplit/>
        </w:trPr>
        <w:tc>
          <w:tcPr>
            <w:tcW w:type="dxa" w:w="3331"/>
            <w:shd w:fill="EEF5F8"/>
          </w:tcPr>
          <w:p>
            <w:pPr>
              <w:spacing w:after="0"/>
            </w:pPr>
            <w:r>
              <w:rPr>
                <w:sz w:val="16"/>
              </w:rPr>
              <w:t>Record minimum necessary</w:t>
            </w:r>
          </w:p>
        </w:tc>
        <w:tc>
          <w:tcPr>
            <w:tcW w:type="dxa" w:w="3331"/>
            <w:shd w:fill="EEF5F8"/>
          </w:tcPr>
          <w:p>
            <w:pPr>
              <w:spacing w:after="0"/>
            </w:pPr>
            <w:r>
              <w:rPr>
                <w:sz w:val="16"/>
              </w:rPr>
              <w:t>Only approved roles access record data</w:t>
            </w:r>
          </w:p>
        </w:tc>
        <w:tc>
          <w:tcPr>
            <w:tcW w:type="dxa" w:w="3331"/>
            <w:shd w:fill="EEF5F8"/>
          </w:tcPr>
          <w:p>
            <w:pPr>
              <w:spacing w:after="0"/>
            </w:pPr>
            <w:r>
              <w:rPr>
                <w:sz w:val="16"/>
              </w:rPr>
              <w:t>No real patient data in training package</w:t>
            </w:r>
          </w:p>
        </w:tc>
      </w:tr>
      <w:tr>
        <w:trPr>
          <w:cantSplit/>
        </w:trPr>
        <w:tc>
          <w:tcPr>
            <w:tcW w:type="dxa" w:w="3331"/>
          </w:tcPr>
          <w:p>
            <w:pPr>
              <w:spacing w:after="0"/>
            </w:pPr>
            <w:r>
              <w:rPr>
                <w:sz w:val="16"/>
              </w:rPr>
              <w:t>Release of information</w:t>
            </w:r>
          </w:p>
        </w:tc>
        <w:tc>
          <w:tcPr>
            <w:tcW w:type="dxa" w:w="3331"/>
          </w:tcPr>
          <w:p>
            <w:pPr>
              <w:spacing w:after="0"/>
            </w:pPr>
            <w:r>
              <w:rPr>
                <w:sz w:val="16"/>
              </w:rPr>
              <w:t>Verify authority, scope and appropriate method</w:t>
            </w:r>
          </w:p>
        </w:tc>
        <w:tc>
          <w:tcPr>
            <w:tcW w:type="dxa" w:w="3331"/>
          </w:tcPr>
          <w:p>
            <w:pPr>
              <w:spacing w:after="0"/>
            </w:pPr>
            <w:r>
              <w:rPr>
                <w:sz w:val="16"/>
              </w:rPr>
              <w:t>Document request ownership</w:t>
            </w:r>
          </w:p>
        </w:tc>
      </w:tr>
      <w:tr>
        <w:trPr>
          <w:cantSplit/>
        </w:trPr>
        <w:tc>
          <w:tcPr>
            <w:tcW w:type="dxa" w:w="3331"/>
            <w:shd w:fill="EEF5F8"/>
          </w:tcPr>
          <w:p>
            <w:pPr>
              <w:spacing w:after="0"/>
            </w:pPr>
            <w:r>
              <w:rPr>
                <w:sz w:val="16"/>
              </w:rPr>
              <w:t>Audit trail</w:t>
            </w:r>
          </w:p>
        </w:tc>
        <w:tc>
          <w:tcPr>
            <w:tcW w:type="dxa" w:w="3331"/>
            <w:shd w:fill="EEF5F8"/>
          </w:tcPr>
          <w:p>
            <w:pPr>
              <w:spacing w:after="0"/>
            </w:pPr>
            <w:r>
              <w:rPr>
                <w:sz w:val="16"/>
              </w:rPr>
              <w:t>Reviewer, version and reason are recorded</w:t>
            </w:r>
          </w:p>
        </w:tc>
        <w:tc>
          <w:tcPr>
            <w:tcW w:type="dxa" w:w="3331"/>
            <w:shd w:fill="EEF5F8"/>
          </w:tcPr>
          <w:p>
            <w:pPr>
              <w:spacing w:after="0"/>
            </w:pPr>
            <w:r>
              <w:rPr>
                <w:sz w:val="16"/>
              </w:rPr>
              <w:t>No untracked code edits</w:t>
            </w:r>
          </w:p>
        </w:tc>
      </w:tr>
    </w:tbl>
    <w:p>
      <w:pPr>
        <w:spacing w:after="0"/>
      </w:pPr>
    </w:p>
    <w:p>
      <w:pPr>
        <w:pStyle w:val="Heading2"/>
      </w:pPr>
      <w:r>
        <w:t>Non-leading query template</w:t>
      </w:r>
    </w:p>
    <w:p>
      <w:pPr>
        <w:spacing w:after="120"/>
      </w:pPr>
      <w:r>
        <w:t>Case: PX-111. Subject: Documentation clarification - site/laterality. “The assessment describes wound follow-up but does not specify the documented side. Please clarify the clinical site and laterality based on your professional judgment, if known, or indicate that it cannot be determined.” Do not offer a favored diagnosis as a required answer.</w:t>
      </w:r>
    </w:p>
    <w:p>
      <w:pPr>
        <w:pStyle w:val="Heading2"/>
      </w:pPr>
      <w:r>
        <w:t>Coding verification gate</w:t>
      </w:r>
    </w:p>
    <w:p>
      <w:pPr>
        <w:pStyle w:val="ListBullet"/>
        <w:spacing w:after="60"/>
      </w:pPr>
      <w:r>
        <w:t>Confirm care setting (outpatient vs inpatient) and the effective code-set year.</w:t>
      </w:r>
    </w:p>
    <w:p>
      <w:pPr>
        <w:pStyle w:val="ListBullet"/>
        <w:spacing w:after="60"/>
      </w:pPr>
      <w:r>
        <w:t>Read complete authenticated record, including relevant history, assessment, procedures and orders.</w:t>
      </w:r>
    </w:p>
    <w:p>
      <w:pPr>
        <w:pStyle w:val="ListBullet"/>
        <w:spacing w:after="60"/>
      </w:pPr>
      <w:r>
        <w:t>Identify documented diagnosis or appropriate symptom/reason-for-visit only.</w:t>
      </w:r>
    </w:p>
    <w:p>
      <w:pPr>
        <w:pStyle w:val="ListBullet"/>
        <w:spacing w:after="60"/>
      </w:pPr>
      <w:r>
        <w:t>Research Alphabetic Index followed by Tabular List; read inclusion/exclusion and sequencing instructions.</w:t>
      </w:r>
    </w:p>
    <w:p>
      <w:pPr>
        <w:pStyle w:val="ListBullet"/>
        <w:spacing w:after="60"/>
      </w:pPr>
      <w:r>
        <w:t>Check documentation completeness, payer policies, and source traceability.</w:t>
      </w:r>
    </w:p>
    <w:p>
      <w:pPr>
        <w:pStyle w:val="ListBullet"/>
        <w:spacing w:after="60"/>
      </w:pPr>
      <w:r>
        <w:t>Log uncertain or unsupported entries as hold; never fabricate definitive diagnosis.</w:t>
      </w:r>
    </w:p>
    <w:p>
      <w:pPr>
        <w:pStyle w:val="ListBullet"/>
        <w:spacing w:after="60"/>
      </w:pPr>
      <w:r>
        <w:t>Complete independent QA, release status, version and retention controls.</w:t>
      </w:r>
    </w:p>
    <w:p>
      <w:r>
        <w:br w:type="page"/>
      </w:r>
    </w:p>
    <w:p>
      <w:r>
        <w:rPr>
          <w:b/>
          <w:color w:val="0C7B89"/>
          <w:sz w:val="16"/>
        </w:rPr>
        <w:t>DEEP-DIVE CASE FILE  /  HIM-03</w:t>
      </w:r>
    </w:p>
    <w:p>
      <w:pPr>
        <w:pStyle w:val="Heading1"/>
      </w:pPr>
      <w:r>
        <w:t>High-risk defect scenarios and audit scoring</w:t>
      </w:r>
    </w:p>
    <w:tbl>
      <w:tblPr>
        <w:tblStyle w:val="TableGrid"/>
        <w:tblW w:type="auto" w:w="0"/>
        <w:tblLayout w:type="fixed"/>
        <w:tblLook w:firstColumn="1" w:firstRow="1" w:lastColumn="0" w:lastRow="0" w:noHBand="0" w:noVBand="1" w:val="04A0"/>
      </w:tblPr>
      <w:tblGrid>
        <w:gridCol w:w="3331"/>
        <w:gridCol w:w="3331"/>
        <w:gridCol w:w="3331"/>
      </w:tblGrid>
      <w:tr>
        <w:trPr>
          <w:tblHeader/>
        </w:trPr>
        <w:tc>
          <w:tcPr>
            <w:tcW w:type="dxa" w:w="2592"/>
            <w:shd w:fill="172946"/>
          </w:tcPr>
          <w:p>
            <w:r>
              <w:rPr>
                <w:b/>
                <w:color w:val="FFFFFF"/>
                <w:sz w:val="16"/>
              </w:rPr>
              <w:t>Failure mode</w:t>
            </w:r>
          </w:p>
        </w:tc>
        <w:tc>
          <w:tcPr>
            <w:tcW w:type="dxa" w:w="3384"/>
            <w:shd w:fill="172946"/>
          </w:tcPr>
          <w:p>
            <w:r>
              <w:rPr>
                <w:b/>
                <w:color w:val="FFFFFF"/>
                <w:sz w:val="16"/>
              </w:rPr>
              <w:t>Why risky</w:t>
            </w:r>
          </w:p>
        </w:tc>
        <w:tc>
          <w:tcPr>
            <w:tcW w:type="dxa" w:w="3816"/>
            <w:shd w:fill="172946"/>
          </w:tcPr>
          <w:p>
            <w:r>
              <w:rPr>
                <w:b/>
                <w:color w:val="FFFFFF"/>
                <w:sz w:val="16"/>
              </w:rPr>
              <w:t>Safeguard</w:t>
            </w:r>
          </w:p>
        </w:tc>
      </w:tr>
      <w:tr>
        <w:trPr>
          <w:cantSplit/>
        </w:trPr>
        <w:tc>
          <w:tcPr>
            <w:tcW w:type="dxa" w:w="3331"/>
          </w:tcPr>
          <w:p>
            <w:pPr>
              <w:spacing w:after="0"/>
            </w:pPr>
            <w:r>
              <w:rPr>
                <w:sz w:val="16"/>
              </w:rPr>
              <w:t>False positive diagnosis</w:t>
            </w:r>
          </w:p>
        </w:tc>
        <w:tc>
          <w:tcPr>
            <w:tcW w:type="dxa" w:w="3331"/>
          </w:tcPr>
          <w:p>
            <w:pPr>
              <w:spacing w:after="0"/>
            </w:pPr>
            <w:r>
              <w:rPr>
                <w:sz w:val="16"/>
              </w:rPr>
              <w:t>Speculative outpatient diagnosis treated as confirmed</w:t>
            </w:r>
          </w:p>
        </w:tc>
        <w:tc>
          <w:tcPr>
            <w:tcW w:type="dxa" w:w="3331"/>
          </w:tcPr>
          <w:p>
            <w:pPr>
              <w:spacing w:after="0"/>
            </w:pPr>
            <w:r>
              <w:rPr>
                <w:sz w:val="16"/>
              </w:rPr>
              <w:t>Hold pending signed definitive note</w:t>
            </w:r>
          </w:p>
        </w:tc>
      </w:tr>
      <w:tr>
        <w:trPr>
          <w:cantSplit/>
        </w:trPr>
        <w:tc>
          <w:tcPr>
            <w:tcW w:type="dxa" w:w="3331"/>
            <w:shd w:fill="EEF5F8"/>
          </w:tcPr>
          <w:p>
            <w:pPr>
              <w:spacing w:after="0"/>
            </w:pPr>
            <w:r>
              <w:rPr>
                <w:sz w:val="16"/>
              </w:rPr>
              <w:t>Wrong code year</w:t>
            </w:r>
          </w:p>
        </w:tc>
        <w:tc>
          <w:tcPr>
            <w:tcW w:type="dxa" w:w="3331"/>
            <w:shd w:fill="EEF5F8"/>
          </w:tcPr>
          <w:p>
            <w:pPr>
              <w:spacing w:after="0"/>
            </w:pPr>
            <w:r>
              <w:rPr>
                <w:sz w:val="16"/>
              </w:rPr>
              <w:t>Code not valid on encounter date</w:t>
            </w:r>
          </w:p>
        </w:tc>
        <w:tc>
          <w:tcPr>
            <w:tcW w:type="dxa" w:w="3331"/>
            <w:shd w:fill="EEF5F8"/>
          </w:tcPr>
          <w:p>
            <w:pPr>
              <w:spacing w:after="0"/>
            </w:pPr>
            <w:r>
              <w:rPr>
                <w:sz w:val="16"/>
              </w:rPr>
              <w:t>Date-aware release validation</w:t>
            </w:r>
          </w:p>
        </w:tc>
      </w:tr>
      <w:tr>
        <w:trPr>
          <w:cantSplit/>
        </w:trPr>
        <w:tc>
          <w:tcPr>
            <w:tcW w:type="dxa" w:w="3331"/>
          </w:tcPr>
          <w:p>
            <w:pPr>
              <w:spacing w:after="0"/>
            </w:pPr>
            <w:r>
              <w:rPr>
                <w:sz w:val="16"/>
              </w:rPr>
              <w:t>Missing laterality</w:t>
            </w:r>
          </w:p>
        </w:tc>
        <w:tc>
          <w:tcPr>
            <w:tcW w:type="dxa" w:w="3331"/>
          </w:tcPr>
          <w:p>
            <w:pPr>
              <w:spacing w:after="0"/>
            </w:pPr>
            <w:r>
              <w:rPr>
                <w:sz w:val="16"/>
              </w:rPr>
              <w:t>Specificity unsupported</w:t>
            </w:r>
          </w:p>
        </w:tc>
        <w:tc>
          <w:tcPr>
            <w:tcW w:type="dxa" w:w="3331"/>
          </w:tcPr>
          <w:p>
            <w:pPr>
              <w:spacing w:after="0"/>
            </w:pPr>
            <w:r>
              <w:rPr>
                <w:sz w:val="16"/>
              </w:rPr>
              <w:t>Neutral provider query</w:t>
            </w:r>
          </w:p>
        </w:tc>
      </w:tr>
      <w:tr>
        <w:trPr>
          <w:cantSplit/>
        </w:trPr>
        <w:tc>
          <w:tcPr>
            <w:tcW w:type="dxa" w:w="3331"/>
            <w:shd w:fill="EEF5F8"/>
          </w:tcPr>
          <w:p>
            <w:pPr>
              <w:spacing w:after="0"/>
            </w:pPr>
            <w:r>
              <w:rPr>
                <w:sz w:val="16"/>
              </w:rPr>
              <w:t>Unclear copy/paste</w:t>
            </w:r>
          </w:p>
        </w:tc>
        <w:tc>
          <w:tcPr>
            <w:tcW w:type="dxa" w:w="3331"/>
            <w:shd w:fill="EEF5F8"/>
          </w:tcPr>
          <w:p>
            <w:pPr>
              <w:spacing w:after="0"/>
            </w:pPr>
            <w:r>
              <w:rPr>
                <w:sz w:val="16"/>
              </w:rPr>
              <w:t>Conflicting assessment evidence</w:t>
            </w:r>
          </w:p>
        </w:tc>
        <w:tc>
          <w:tcPr>
            <w:tcW w:type="dxa" w:w="3331"/>
            <w:shd w:fill="EEF5F8"/>
          </w:tcPr>
          <w:p>
            <w:pPr>
              <w:spacing w:after="0"/>
            </w:pPr>
            <w:r>
              <w:rPr>
                <w:sz w:val="16"/>
              </w:rPr>
              <w:t>Discrepancy log; confirm source</w:t>
            </w:r>
          </w:p>
        </w:tc>
      </w:tr>
      <w:tr>
        <w:trPr>
          <w:cantSplit/>
        </w:trPr>
        <w:tc>
          <w:tcPr>
            <w:tcW w:type="dxa" w:w="3331"/>
          </w:tcPr>
          <w:p>
            <w:pPr>
              <w:spacing w:after="0"/>
            </w:pPr>
            <w:r>
              <w:rPr>
                <w:sz w:val="16"/>
              </w:rPr>
              <w:t>Wrong recipient</w:t>
            </w:r>
          </w:p>
        </w:tc>
        <w:tc>
          <w:tcPr>
            <w:tcW w:type="dxa" w:w="3331"/>
          </w:tcPr>
          <w:p>
            <w:pPr>
              <w:spacing w:after="0"/>
            </w:pPr>
            <w:r>
              <w:rPr>
                <w:sz w:val="16"/>
              </w:rPr>
              <w:t>Unauthorized PHI disclosure</w:t>
            </w:r>
          </w:p>
        </w:tc>
        <w:tc>
          <w:tcPr>
            <w:tcW w:type="dxa" w:w="3331"/>
          </w:tcPr>
          <w:p>
            <w:pPr>
              <w:spacing w:after="0"/>
            </w:pPr>
            <w:r>
              <w:rPr>
                <w:sz w:val="16"/>
              </w:rPr>
              <w:t>Requestor identity / access check</w:t>
            </w:r>
          </w:p>
        </w:tc>
      </w:tr>
      <w:tr>
        <w:trPr>
          <w:cantSplit/>
        </w:trPr>
        <w:tc>
          <w:tcPr>
            <w:tcW w:type="dxa" w:w="3331"/>
            <w:shd w:fill="EEF5F8"/>
          </w:tcPr>
          <w:p>
            <w:pPr>
              <w:spacing w:after="0"/>
            </w:pPr>
            <w:r>
              <w:rPr>
                <w:sz w:val="16"/>
              </w:rPr>
              <w:t>Unredacted export</w:t>
            </w:r>
          </w:p>
        </w:tc>
        <w:tc>
          <w:tcPr>
            <w:tcW w:type="dxa" w:w="3331"/>
            <w:shd w:fill="EEF5F8"/>
          </w:tcPr>
          <w:p>
            <w:pPr>
              <w:spacing w:after="0"/>
            </w:pPr>
            <w:r>
              <w:rPr>
                <w:sz w:val="16"/>
              </w:rPr>
              <w:t>Sensitive content exposed</w:t>
            </w:r>
          </w:p>
        </w:tc>
        <w:tc>
          <w:tcPr>
            <w:tcW w:type="dxa" w:w="3331"/>
            <w:shd w:fill="EEF5F8"/>
          </w:tcPr>
          <w:p>
            <w:pPr>
              <w:spacing w:after="0"/>
            </w:pPr>
            <w:r>
              <w:rPr>
                <w:sz w:val="16"/>
              </w:rPr>
              <w:t>True redaction; search-text test</w:t>
            </w:r>
          </w:p>
        </w:tc>
      </w:tr>
      <w:tr>
        <w:trPr>
          <w:cantSplit/>
        </w:trPr>
        <w:tc>
          <w:tcPr>
            <w:tcW w:type="dxa" w:w="3331"/>
          </w:tcPr>
          <w:p>
            <w:pPr>
              <w:spacing w:after="0"/>
            </w:pPr>
            <w:r>
              <w:rPr>
                <w:sz w:val="16"/>
              </w:rPr>
              <w:t>Unsigned note</w:t>
            </w:r>
          </w:p>
        </w:tc>
        <w:tc>
          <w:tcPr>
            <w:tcW w:type="dxa" w:w="3331"/>
          </w:tcPr>
          <w:p>
            <w:pPr>
              <w:spacing w:after="0"/>
            </w:pPr>
            <w:r>
              <w:rPr>
                <w:sz w:val="16"/>
              </w:rPr>
              <w:t>Authentication uncertainty</w:t>
            </w:r>
          </w:p>
        </w:tc>
        <w:tc>
          <w:tcPr>
            <w:tcW w:type="dxa" w:w="3331"/>
          </w:tcPr>
          <w:p>
            <w:pPr>
              <w:spacing w:after="0"/>
            </w:pPr>
            <w:r>
              <w:rPr>
                <w:sz w:val="16"/>
              </w:rPr>
              <w:t>HOLD; no clinical inference</w:t>
            </w:r>
          </w:p>
        </w:tc>
      </w:tr>
    </w:tbl>
    <w:p>
      <w:pPr>
        <w:spacing w:after="0"/>
      </w:pPr>
    </w:p>
    <w:p>
      <w:pPr>
        <w:pStyle w:val="Heading2"/>
      </w:pPr>
      <w:r>
        <w:t>QA sampling design</w:t>
      </w:r>
    </w:p>
    <w:p>
      <w:pPr>
        <w:spacing w:after="120"/>
      </w:pPr>
      <w:r>
        <w:t>For this 12-case learning batch, each encounter is reviewed against six gates: authenticity, setting, documented problem, specificity, code-year readiness, and release status (72 pass/hold observations). No coding-accuracy percentage is claimed because six new exercises have deliberately unassigned codes and have not been independently reviewed by a certified coder.</w:t>
      </w:r>
    </w:p>
    <w:p>
      <w:pPr>
        <w:pStyle w:val="Heading2"/>
      </w:pPr>
      <w:r>
        <w:t>Communication and confidentiality</w:t>
      </w:r>
    </w:p>
    <w:p>
      <w:pPr>
        <w:spacing w:after="120"/>
      </w:pPr>
      <w:r>
        <w:t>All patient labels and notes are fictional. Never import actual patient details into portfolio materials or public AI tools without approved authorization. PDF demonstrations in this package use invented names and true text redaction; no real PHI is involved.</w:t>
      </w:r>
    </w:p>
    <w:sectPr w:rsidR="00FC693F" w:rsidRPr="0006063C" w:rsidSect="00034616">
      <w:headerReference w:type="default" r:id="rId9"/>
      <w:footerReference w:type="default" r:id="rId10"/>
      <w:pgSz w:w="12240" w:h="15840"/>
      <w:pgMar w:top="1195" w:right="1123" w:bottom="965"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7"/>
        <w:sz w:val="14"/>
      </w:rPr>
      <w:t>SYNTHETIC TRAINING MATERIAL  •  NO REAL CLIENT, PATIENT, OR EMPLOYER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D8C"/>
        <w:sz w:val="15"/>
      </w:rPr>
      <w:t>JOB-READY OPERATIONS PORTFOLIO</w:t>
    </w:r>
    <w:r>
      <w:rPr>
        <w:rFonts w:ascii="Aptos" w:hAnsi="Aptos"/>
        <w:color w:val="4C5D72"/>
        <w:sz w:val="15"/>
      </w:rPr>
      <w:t xml:space="preserve">  /  04  HEALTH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B26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ptos" w:hAnsi="Aptos"/>
      <w:b/>
      <w:bCs/>
      <w:color w:val="16263F"/>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87D8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26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40"/>
    </w:pPr>
    <w:rPr>
      <w:rFonts w:ascii="Aptos" w:hAnsi="Aptos"/>
      <w:b/>
      <w:bCs/>
      <w:color w:val="4C5D7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
    <w:name w:val="Micro"/>
    <w:pPr>
      <w:spacing w:after="40" w:line="252" w:lineRule="auto"/>
    </w:pPr>
    <w:rPr>
      <w:rFonts w:ascii="Aptos" w:hAnsi="Aptos"/>
      <w:color w:val="6D7B8A"/>
      <w:sz w:val="15"/>
    </w:rPr>
  </w:style>
  <w:style w:type="paragraph" w:customStyle="1" w:styleId="TableData">
    <w:name w:val="Table Data"/>
    <w:pPr>
      <w:spacing w:after="40" w:line="252" w:lineRule="auto"/>
    </w:pPr>
    <w:rPr>
      <w:rFonts w:ascii="Aptos" w:hAnsi="Aptos"/>
      <w:color w:val="1B2635"/>
      <w:sz w:val="16"/>
    </w:rPr>
  </w:style>
  <w:style w:type="paragraph" w:customStyle="1" w:styleId="TableHead">
    <w:name w:val="Table Head"/>
    <w:pPr>
      <w:spacing w:after="40" w:line="252" w:lineRule="auto"/>
    </w:pPr>
    <w:rPr>
      <w:rFonts w:ascii="Aptos" w:hAnsi="Aptos"/>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Records &amp; Coding Quality</dc:title>
  <dc:subject>Job-ready simulated operations portfolio artifact</dc:subject>
  <dc:creator>Jamie Christian II | Portfolio Demonstration</dc:creator>
  <cp:keywords/>
  <dc:description>Fictional simulation. Added deep-dive operational evidence and controls.</dc:description>
  <cp:lastModifiedBy/>
  <cp:revision>1</cp:revision>
  <dcterms:created xsi:type="dcterms:W3CDTF">2013-12-23T23:15:00Z</dcterms:created>
  <dcterms:modified xsi:type="dcterms:W3CDTF">2013-12-23T23:15:00Z</dcterms:modified>
  <cp:category/>
  <cp:version>3.0</cp:version>
</cp:coreProperties>
</file>