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Aptos" w:hAnsi="Aptos"/>
          <w:b/>
          <w:color w:val="087D8C"/>
          <w:sz w:val="22"/>
        </w:rPr>
        <w:t>CASE STUDY  05  /  05</w:t>
      </w:r>
    </w:p>
    <w:p>
      <w:pPr>
        <w:pStyle w:val="Title"/>
      </w:pPr>
      <w:r>
        <w:t>Data Stewardship &amp; Quality Controls</w:t>
      </w:r>
    </w:p>
    <w:p>
      <w:pPr>
        <w:spacing w:after="340"/>
      </w:pPr>
      <w:r>
        <w:rPr>
          <w:rFonts w:ascii="Aptos" w:hAnsi="Aptos"/>
          <w:color w:val="4C5D72"/>
          <w:sz w:val="24"/>
        </w:rPr>
        <w:t>Master-data remediation  •  data dictionary  •  issue ownership and lineage</w:t>
      </w:r>
    </w:p>
    <w:tbl>
      <w:tblPr>
        <w:tblW w:type="auto" w:w="0"/>
        <w:tblLayout w:type="fixed"/>
        <w:tblLook w:firstColumn="1" w:firstRow="1" w:lastColumn="0" w:lastRow="0" w:noHBand="0" w:noVBand="1" w:val="04A0"/>
      </w:tblPr>
      <w:tblGrid>
        <w:gridCol w:w="9864"/>
      </w:tblGrid>
      <w:tr>
        <w:tc>
          <w:tcPr>
            <w:tcW w:type="dxa" w:w="9994"/>
            <w:shd w:fill="EAF3F5"/>
            <w:tcMar>
              <w:top w:w="160" w:type="dxa"/>
              <w:start w:w="190" w:type="dxa"/>
              <w:bottom w:w="150" w:type="dxa"/>
              <w:end w:w="190" w:type="dxa"/>
            </w:tcMar>
          </w:tcPr>
          <w:p>
            <w:r>
              <w:rPr>
                <w:rFonts w:ascii="Aptos" w:hAnsi="Aptos"/>
                <w:b/>
                <w:color w:val="087D8C"/>
                <w:sz w:val="16"/>
              </w:rPr>
              <w:t>BUSINESS SCENARIO</w:t>
            </w:r>
          </w:p>
          <w:p>
            <w:pPr>
              <w:spacing w:after="100"/>
            </w:pPr>
            <w:r>
              <w:t>A fictional B2B organization consolidates CRM customer records before a reporting launch. The steward must define canonical data, review duplicates, establish valid-value rules, route missing ownership, and publish accountable data-quality metrics.</w:t>
            </w:r>
          </w:p>
          <w:p>
            <w:r>
              <w:rPr>
                <w:rFonts w:ascii="Aptos" w:hAnsi="Aptos"/>
                <w:b/>
                <w:color w:val="087D8C"/>
                <w:sz w:val="16"/>
              </w:rPr>
              <w:t xml:space="preserve">COMPLETED DELIVERABLE  </w:t>
            </w:r>
            <w:r>
              <w:t>Governed data dictionary, duplicate-match adjudications, canonical-golden-record sample, risk/exception log, KPI definition sheet, and stewardship SOP.</w:t>
            </w:r>
          </w:p>
        </w:tc>
      </w:tr>
    </w:tbl>
    <w:p/>
    <w:p>
      <w:pPr>
        <w:pStyle w:val="Heading2"/>
      </w:pPr>
      <w:r>
        <w:t>ROLE COVERAGE</w:t>
      </w:r>
    </w:p>
    <w:p>
      <w:r>
        <w:t>Data Steward • Data Processor • Data Verification Specialist</w:t>
      </w:r>
    </w:p>
    <w:p>
      <w:pPr>
        <w:pStyle w:val="Heading2"/>
      </w:pPr>
      <w:r>
        <w:t>EVIDENCE AT A GLANCE</w:t>
      </w:r>
    </w:p>
    <w:tbl>
      <w:tblPr>
        <w:tblW w:type="auto" w:w="0"/>
        <w:tblLayout w:type="fixed"/>
        <w:tblLook w:firstColumn="1" w:firstRow="1" w:lastColumn="0" w:lastRow="0" w:noHBand="0" w:noVBand="1" w:val="04A0"/>
      </w:tblPr>
      <w:tblGrid>
        <w:gridCol w:w="3331"/>
        <w:gridCol w:w="3331"/>
        <w:gridCol w:w="3331"/>
      </w:tblGrid>
      <w:tr>
        <w:tc>
          <w:tcPr>
            <w:tcW w:type="dxa" w:w="3331"/>
            <w:shd w:fill="F3F6FA"/>
            <w:tcMar>
              <w:top w:w="160" w:type="dxa"/>
              <w:start w:w="120" w:type="dxa"/>
              <w:bottom w:w="160" w:type="dxa"/>
              <w:end w:w="120" w:type="dxa"/>
            </w:tcMar>
          </w:tcPr>
          <w:p>
            <w:pPr>
              <w:jc w:val="center"/>
            </w:pPr>
            <w:r>
              <w:rPr>
                <w:rFonts w:ascii="Aptos" w:hAnsi="Aptos"/>
                <w:b/>
                <w:color w:val="16263F"/>
                <w:sz w:val="34"/>
              </w:rPr>
              <w:t>480</w:t>
            </w:r>
          </w:p>
          <w:p>
            <w:pPr>
              <w:jc w:val="center"/>
            </w:pPr>
            <w:r>
              <w:rPr>
                <w:rFonts w:ascii="Aptos" w:hAnsi="Aptos"/>
                <w:b/>
                <w:color w:val="4C5D72"/>
                <w:sz w:val="14"/>
              </w:rPr>
              <w:t>SOURCE ROWS</w:t>
            </w:r>
          </w:p>
        </w:tc>
        <w:tc>
          <w:tcPr>
            <w:tcW w:type="dxa" w:w="3331"/>
            <w:shd w:fill="F3F6FA"/>
            <w:tcMar>
              <w:top w:w="160" w:type="dxa"/>
              <w:start w:w="120" w:type="dxa"/>
              <w:bottom w:w="160" w:type="dxa"/>
              <w:end w:w="120" w:type="dxa"/>
            </w:tcMar>
          </w:tcPr>
          <w:p>
            <w:pPr>
              <w:jc w:val="center"/>
            </w:pPr>
            <w:r>
              <w:rPr>
                <w:rFonts w:ascii="Aptos" w:hAnsi="Aptos"/>
                <w:b/>
                <w:color w:val="16263F"/>
                <w:sz w:val="34"/>
              </w:rPr>
              <w:t>462</w:t>
            </w:r>
          </w:p>
          <w:p>
            <w:pPr>
              <w:jc w:val="center"/>
            </w:pPr>
            <w:r>
              <w:rPr>
                <w:rFonts w:ascii="Aptos" w:hAnsi="Aptos"/>
                <w:b/>
                <w:color w:val="4C5D72"/>
                <w:sz w:val="14"/>
              </w:rPr>
              <w:t>GOLDEN RECORDS</w:t>
            </w:r>
          </w:p>
        </w:tc>
        <w:tc>
          <w:tcPr>
            <w:tcW w:type="dxa" w:w="3331"/>
            <w:shd w:fill="F3F6FA"/>
            <w:tcMar>
              <w:top w:w="160" w:type="dxa"/>
              <w:start w:w="120" w:type="dxa"/>
              <w:bottom w:w="160" w:type="dxa"/>
              <w:end w:w="120" w:type="dxa"/>
            </w:tcMar>
          </w:tcPr>
          <w:p>
            <w:pPr>
              <w:jc w:val="center"/>
            </w:pPr>
            <w:r>
              <w:rPr>
                <w:rFonts w:ascii="Aptos" w:hAnsi="Aptos"/>
                <w:b/>
                <w:color w:val="16263F"/>
                <w:sz w:val="34"/>
              </w:rPr>
              <w:t>100%</w:t>
            </w:r>
          </w:p>
          <w:p>
            <w:pPr>
              <w:jc w:val="center"/>
            </w:pPr>
            <w:r>
              <w:rPr>
                <w:rFonts w:ascii="Aptos" w:hAnsi="Aptos"/>
                <w:b/>
                <w:color w:val="4C5D72"/>
                <w:sz w:val="14"/>
              </w:rPr>
              <w:t>MATCHES REVIEWED</w:t>
            </w:r>
          </w:p>
        </w:tc>
      </w:tr>
    </w:tbl>
    <w:p>
      <w:pPr>
        <w:spacing w:before="520"/>
      </w:pPr>
      <w:r>
        <w:rPr>
          <w:rFonts w:ascii="Aptos" w:hAnsi="Aptos"/>
          <w:b/>
          <w:color w:val="4C5D72"/>
          <w:sz w:val="16"/>
        </w:rPr>
        <w:t xml:space="preserve">PREPARED BY  </w:t>
      </w:r>
      <w:r>
        <w:rPr>
          <w:rFonts w:ascii="Aptos" w:hAnsi="Aptos"/>
          <w:b/>
          <w:color w:val="16263F"/>
          <w:sz w:val="18"/>
        </w:rPr>
        <w:t>Jamie Christian II</w:t>
      </w:r>
    </w:p>
    <w:p>
      <w:r>
        <w:rPr>
          <w:rFonts w:ascii="Aptos" w:hAnsi="Aptos"/>
          <w:color w:val="6D7B8A"/>
          <w:sz w:val="16"/>
        </w:rPr>
        <w:t>Document status: Completed sample  |  Version: 2.0 · Evidence Edition  |  27 Oct 2026</w:t>
      </w:r>
    </w:p>
    <w:p>
      <w:r>
        <w:rPr>
          <w:rFonts w:ascii="Aptos" w:hAnsi="Aptos"/>
          <w:color w:val="6D7B8A"/>
          <w:sz w:val="16"/>
        </w:rPr>
        <w:t>Portfolio disclosure: All organizations, records, people, and transactions are fictional. This is a simulated work product, not a claim of past paid employment or client work.</w:t>
      </w:r>
    </w:p>
    <w:p>
      <w:r>
        <w:br w:type="page"/>
      </w:r>
    </w:p>
    <w:p>
      <w:pPr>
        <w:spacing w:after="60"/>
      </w:pPr>
      <w:r>
        <w:rPr>
          <w:rFonts w:ascii="Aptos" w:hAnsi="Aptos"/>
          <w:b/>
          <w:color w:val="BA8F4D"/>
          <w:sz w:val="16"/>
        </w:rPr>
        <w:t>01 / GOVERNANCE CHARTER</w:t>
      </w:r>
    </w:p>
    <w:p>
      <w:pPr>
        <w:pStyle w:val="Heading1"/>
      </w:pPr>
      <w:r>
        <w:t>Dataset contract and control ownership</w:t>
      </w:r>
    </w:p>
    <w:tbl>
      <w:tblPr>
        <w:tblW w:type="auto" w:w="0"/>
        <w:jc w:val="center"/>
        <w:tblLayout w:type="fixed"/>
        <w:tblLook w:firstColumn="1" w:firstRow="1" w:lastColumn="0" w:lastRow="0" w:noHBand="0" w:noVBand="1" w:val="04A0"/>
      </w:tblPr>
      <w:tblGrid>
        <w:gridCol w:w="2333"/>
        <w:gridCol w:w="7459"/>
      </w:tblGrid>
      <w:tr>
        <w:trPr>
          <w:tblHeader w:val="true"/>
          <w:cantSplit/>
        </w:trPr>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Element</w:t>
            </w:r>
          </w:p>
        </w:tc>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Definition</w:t>
            </w:r>
          </w:p>
        </w:tc>
      </w:tr>
      <w:tr>
        <w:trPr>
          <w:cantSplit/>
        </w:trPr>
        <w:tc>
          <w:tcPr>
            <w:tcW w:type="dxa" w:w="233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Dataset</w:t>
            </w:r>
          </w:p>
        </w:tc>
        <w:tc>
          <w:tcPr>
            <w:tcW w:type="dxa" w:w="745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CRM_CUSTOMER_MASTER / release CRM-R2026-10-27</w:t>
            </w:r>
          </w:p>
        </w:tc>
      </w:tr>
      <w:tr>
        <w:trPr>
          <w:cantSplit/>
        </w:trPr>
        <w:tc>
          <w:tcPr>
            <w:tcW w:type="dxa" w:w="233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Business owner</w:t>
            </w:r>
          </w:p>
        </w:tc>
        <w:tc>
          <w:tcPr>
            <w:tcW w:type="dxa" w:w="745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Head of Revenue Operations (fictional)</w:t>
            </w:r>
          </w:p>
        </w:tc>
      </w:tr>
      <w:tr>
        <w:trPr>
          <w:cantSplit/>
        </w:trPr>
        <w:tc>
          <w:tcPr>
            <w:tcW w:type="dxa" w:w="233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Steward</w:t>
            </w:r>
          </w:p>
        </w:tc>
        <w:tc>
          <w:tcPr>
            <w:tcW w:type="dxa" w:w="745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Customer Data Steward — accountable for semantics and issue triage</w:t>
            </w:r>
          </w:p>
        </w:tc>
      </w:tr>
      <w:tr>
        <w:trPr>
          <w:cantSplit/>
        </w:trPr>
        <w:tc>
          <w:tcPr>
            <w:tcW w:type="dxa" w:w="233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Technical custodian</w:t>
            </w:r>
          </w:p>
        </w:tc>
        <w:tc>
          <w:tcPr>
            <w:tcW w:type="dxa" w:w="745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CRM Systems Administrator — responsible for access, transport, backup</w:t>
            </w:r>
          </w:p>
        </w:tc>
      </w:tr>
      <w:tr>
        <w:trPr>
          <w:cantSplit/>
        </w:trPr>
        <w:tc>
          <w:tcPr>
            <w:tcW w:type="dxa" w:w="233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Input population</w:t>
            </w:r>
          </w:p>
        </w:tc>
        <w:tc>
          <w:tcPr>
            <w:tcW w:type="dxa" w:w="745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480 source records across sales CRM and onboarding queue</w:t>
            </w:r>
          </w:p>
        </w:tc>
      </w:tr>
      <w:tr>
        <w:trPr>
          <w:cantSplit/>
        </w:trPr>
        <w:tc>
          <w:tcPr>
            <w:tcW w:type="dxa" w:w="233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Published population</w:t>
            </w:r>
          </w:p>
        </w:tc>
        <w:tc>
          <w:tcPr>
            <w:tcW w:type="dxa" w:w="745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462 canonical master records after 18 confirmed duplicate removals</w:t>
            </w:r>
          </w:p>
        </w:tc>
      </w:tr>
      <w:tr>
        <w:trPr>
          <w:cantSplit/>
        </w:trPr>
        <w:tc>
          <w:tcPr>
            <w:tcW w:type="dxa" w:w="233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Excluded content</w:t>
            </w:r>
          </w:p>
        </w:tc>
        <w:tc>
          <w:tcPr>
            <w:tcW w:type="dxa" w:w="745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No real customer records, private contact details, credentials, or live system exports</w:t>
            </w:r>
          </w:p>
        </w:tc>
      </w:tr>
    </w:tbl>
    <w:p>
      <w:pPr>
        <w:spacing w:after="0"/>
      </w:pPr>
    </w:p>
    <w:p>
      <w:pPr>
        <w:pStyle w:val="Heading2"/>
      </w:pPr>
      <w:r>
        <w:t>Stewardship principles</w:t>
      </w:r>
    </w:p>
    <w:p>
      <w:pPr>
        <w:pStyle w:val="ListBullet"/>
        <w:spacing w:after="60"/>
        <w:ind w:left="288"/>
      </w:pPr>
      <w:r>
        <w:t>Every master record has a stable master key and traceable source keys.</w:t>
      </w:r>
    </w:p>
    <w:p>
      <w:pPr>
        <w:pStyle w:val="ListBullet"/>
        <w:spacing w:after="60"/>
        <w:ind w:left="288"/>
      </w:pPr>
      <w:r>
        <w:t>Match scores produce review candidates; merging requires evidence and a recorded adjudication.</w:t>
      </w:r>
    </w:p>
    <w:p>
      <w:pPr>
        <w:pStyle w:val="ListBullet"/>
        <w:spacing w:after="60"/>
        <w:ind w:left="288"/>
      </w:pPr>
      <w:r>
        <w:t>Business definitions and permitted values are documented and versioned, not embedded only in an undocumented script.</w:t>
      </w:r>
    </w:p>
    <w:p>
      <w:pPr>
        <w:pStyle w:val="ListBullet"/>
        <w:spacing w:after="60"/>
        <w:ind w:left="288"/>
      </w:pPr>
      <w:r>
        <w:t>Data issues have an owner, severity, due date, and measurable closure evidence.</w:t>
      </w:r>
    </w:p>
    <w:p>
      <w:r>
        <w:br w:type="page"/>
      </w:r>
    </w:p>
    <w:p>
      <w:pPr>
        <w:spacing w:after="60"/>
      </w:pPr>
      <w:r>
        <w:rPr>
          <w:rFonts w:ascii="Aptos" w:hAnsi="Aptos"/>
          <w:b/>
          <w:color w:val="BA8F4D"/>
          <w:sz w:val="16"/>
        </w:rPr>
        <w:t>02 / DATA DICTIONARY</w:t>
      </w:r>
    </w:p>
    <w:p>
      <w:pPr>
        <w:pStyle w:val="Heading1"/>
      </w:pPr>
      <w:r>
        <w:t>Approved canonical field dictionary</w:t>
      </w:r>
    </w:p>
    <w:tbl>
      <w:tblPr>
        <w:tblW w:type="auto" w:w="0"/>
        <w:jc w:val="center"/>
        <w:tblLayout w:type="fixed"/>
        <w:tblLook w:firstColumn="1" w:firstRow="1" w:lastColumn="0" w:lastRow="0" w:noHBand="0" w:noVBand="1" w:val="04A0"/>
      </w:tblPr>
      <w:tblGrid>
        <w:gridCol w:w="2376"/>
        <w:gridCol w:w="2952"/>
        <w:gridCol w:w="1152"/>
        <w:gridCol w:w="3312"/>
      </w:tblGrid>
      <w:tr>
        <w:trPr>
          <w:tblHeader w:val="true"/>
          <w:cantSplit/>
        </w:trPr>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Field / type</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Meaning</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Required</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Rule / owner</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customer_id / TEXT</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Permanent master identifier</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CUST-#####; CRM custodian</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source_keys / TEXT</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Original source references</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One or more immutable IDs; steward</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legal_name / TEXT</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Registered entity name</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Do not expand abbreviations without evidence</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display_name / TEXT</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Customer-facing preferred name</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No</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May differ from legal name; sales owner</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primary_email / TEXT</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Authorized operational contact</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Lowercase; valid pattern; steward</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state_code / CHAR(2)</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US region of main location</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Allowed US state / DC codes</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account_owner / TEXT</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Responsible sales user ID</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Must map to active owner directory</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lifecycle_status / ENUM</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Current customer state</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Prospect / Active / Suspended / Closed</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last_verified_at / DATE</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Date verified by source of truth</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YYYY-MM-DD; no future date</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record_source / ENUM</w:t>
            </w:r>
          </w:p>
        </w:tc>
        <w:tc>
          <w:tcPr>
            <w:tcW w:type="dxa" w:w="29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Primary provenance identifier</w:t>
            </w:r>
          </w:p>
        </w:tc>
        <w:tc>
          <w:tcPr>
            <w:tcW w:type="dxa" w:w="115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Yes</w:t>
            </w:r>
          </w:p>
        </w:tc>
        <w:tc>
          <w:tcPr>
            <w:tcW w:type="dxa" w:w="331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CRM / Onboarding; custodian</w:t>
            </w:r>
          </w:p>
        </w:tc>
      </w:tr>
    </w:tbl>
    <w:p>
      <w:pPr>
        <w:spacing w:after="0"/>
      </w:pPr>
    </w:p>
    <w:tbl>
      <w:tblPr>
        <w:tblW w:type="auto" w:w="0"/>
        <w:tblLayout w:type="fixed"/>
        <w:tblLook w:firstColumn="1" w:firstRow="1" w:lastColumn="0" w:lastRow="0" w:noHBand="0" w:noVBand="1" w:val="04A0"/>
      </w:tblPr>
      <w:tblGrid>
        <w:gridCol w:w="9878"/>
      </w:tblGrid>
      <w:tr>
        <w:tc>
          <w:tcPr>
            <w:tcW w:type="dxa" w:w="9994"/>
            <w:shd w:fill="EAF3F5"/>
            <w:tcMar>
              <w:top w:w="120" w:type="dxa"/>
              <w:start w:w="140" w:type="dxa"/>
              <w:bottom w:w="120" w:type="dxa"/>
              <w:end w:w="140" w:type="dxa"/>
            </w:tcMar>
          </w:tcPr>
          <w:p>
            <w:r>
              <w:rPr>
                <w:rFonts w:ascii="Aptos" w:hAnsi="Aptos"/>
                <w:b/>
                <w:color w:val="087D8C"/>
                <w:sz w:val="16"/>
              </w:rPr>
              <w:t>DATA CONTRACT</w:t>
            </w:r>
          </w:p>
          <w:p>
            <w:pPr>
              <w:spacing w:after="0"/>
            </w:pPr>
            <w:r>
              <w:t>A contact address is not a unique customer identity: equal emails can indicate a likely match, but legal-name and operational evidence still determine final merge disposition.</w:t>
            </w:r>
          </w:p>
        </w:tc>
      </w:tr>
    </w:tbl>
    <w:p>
      <w:pPr>
        <w:spacing w:after="0"/>
      </w:pPr>
    </w:p>
    <w:p>
      <w:r>
        <w:br w:type="page"/>
      </w:r>
    </w:p>
    <w:p>
      <w:pPr>
        <w:spacing w:after="60"/>
      </w:pPr>
      <w:r>
        <w:rPr>
          <w:rFonts w:ascii="Aptos" w:hAnsi="Aptos"/>
          <w:b/>
          <w:color w:val="BA8F4D"/>
          <w:sz w:val="16"/>
        </w:rPr>
        <w:t>03 / MATCH ADJUDICATION</w:t>
      </w:r>
    </w:p>
    <w:p>
      <w:pPr>
        <w:pStyle w:val="Heading1"/>
      </w:pPr>
      <w:r>
        <w:t>Potential duplicate review log (illustrative cases)</w:t>
      </w:r>
    </w:p>
    <w:tbl>
      <w:tblPr>
        <w:tblW w:type="auto" w:w="0"/>
        <w:jc w:val="center"/>
        <w:tblLayout w:type="fixed"/>
        <w:tblLook w:firstColumn="1" w:firstRow="1" w:lastColumn="0" w:lastRow="0" w:noHBand="0" w:noVBand="1" w:val="04A0"/>
      </w:tblPr>
      <w:tblGrid>
        <w:gridCol w:w="1757"/>
        <w:gridCol w:w="3154"/>
        <w:gridCol w:w="1253"/>
        <w:gridCol w:w="3629"/>
      </w:tblGrid>
      <w:tr>
        <w:trPr>
          <w:tblHeader w:val="true"/>
          <w:cantSplit/>
        </w:trPr>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Pair</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Candidate evidence</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Decision</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Control rationale</w:t>
            </w:r>
          </w:p>
        </w:tc>
      </w:tr>
      <w:tr>
        <w:trPr>
          <w:cantSplit/>
        </w:trPr>
        <w:tc>
          <w:tcPr>
            <w:tcW w:type="dxa" w:w="175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S-019 / S-204</w:t>
            </w:r>
          </w:p>
        </w:tc>
        <w:tc>
          <w:tcPr>
            <w:tcW w:type="dxa" w:w="315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Normalized legal name and shared domain</w:t>
            </w:r>
          </w:p>
        </w:tc>
        <w:tc>
          <w:tcPr>
            <w:tcW w:type="dxa" w:w="125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Merge</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Same account ID confirmed in onboarding case</w:t>
            </w:r>
          </w:p>
        </w:tc>
      </w:tr>
      <w:tr>
        <w:trPr>
          <w:cantSplit/>
        </w:trPr>
        <w:tc>
          <w:tcPr>
            <w:tcW w:type="dxa" w:w="175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S-061 / S-062</w:t>
            </w:r>
          </w:p>
        </w:tc>
        <w:tc>
          <w:tcPr>
            <w:tcW w:type="dxa" w:w="315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Exact phone; two distinct legal entities</w:t>
            </w:r>
          </w:p>
        </w:tc>
        <w:tc>
          <w:tcPr>
            <w:tcW w:type="dxa" w:w="125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Keep both</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Shared reception line is not identity proof</w:t>
            </w:r>
          </w:p>
        </w:tc>
      </w:tr>
      <w:tr>
        <w:trPr>
          <w:cantSplit/>
        </w:trPr>
        <w:tc>
          <w:tcPr>
            <w:tcW w:type="dxa" w:w="175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S-097 / S-371</w:t>
            </w:r>
          </w:p>
        </w:tc>
        <w:tc>
          <w:tcPr>
            <w:tcW w:type="dxa" w:w="315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Minor punctuation variant and exact source tax-key hash</w:t>
            </w:r>
          </w:p>
        </w:tc>
        <w:tc>
          <w:tcPr>
            <w:tcW w:type="dxa" w:w="125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Merge</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Verified source registry match (synthetic hash)</w:t>
            </w:r>
          </w:p>
        </w:tc>
      </w:tr>
      <w:tr>
        <w:trPr>
          <w:cantSplit/>
        </w:trPr>
        <w:tc>
          <w:tcPr>
            <w:tcW w:type="dxa" w:w="175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S-155 / S-157</w:t>
            </w:r>
          </w:p>
        </w:tc>
        <w:tc>
          <w:tcPr>
            <w:tcW w:type="dxa" w:w="315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Similar name; distinct owner/customer contracts</w:t>
            </w:r>
          </w:p>
        </w:tc>
        <w:tc>
          <w:tcPr>
            <w:tcW w:type="dxa" w:w="125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Keep both</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Insufficient evidence; false match</w:t>
            </w:r>
          </w:p>
        </w:tc>
      </w:tr>
      <w:tr>
        <w:trPr>
          <w:cantSplit/>
        </w:trPr>
        <w:tc>
          <w:tcPr>
            <w:tcW w:type="dxa" w:w="175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S-222 / S-228</w:t>
            </w:r>
          </w:p>
        </w:tc>
        <w:tc>
          <w:tcPr>
            <w:tcW w:type="dxa" w:w="315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Same entity, one legacy alias</w:t>
            </w:r>
          </w:p>
        </w:tc>
        <w:tc>
          <w:tcPr>
            <w:tcW w:type="dxa" w:w="1253"/>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Merge</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Alias and legal entity mapped by approved owner</w:t>
            </w:r>
          </w:p>
        </w:tc>
      </w:tr>
    </w:tbl>
    <w:p>
      <w:pPr>
        <w:spacing w:after="0"/>
      </w:pPr>
    </w:p>
    <w:p>
      <w:pPr>
        <w:pStyle w:val="Heading2"/>
      </w:pPr>
      <w:r>
        <w:t>Full-batch disposition summary</w:t>
      </w:r>
    </w:p>
    <w:tbl>
      <w:tblPr>
        <w:tblW w:type="auto" w:w="0"/>
        <w:jc w:val="center"/>
        <w:tblLayout w:type="fixed"/>
        <w:tblLook w:firstColumn="1" w:firstRow="1" w:lastColumn="0" w:lastRow="0" w:noHBand="0" w:noVBand="1" w:val="04A0"/>
      </w:tblPr>
      <w:tblGrid>
        <w:gridCol w:w="3816"/>
        <w:gridCol w:w="936"/>
        <w:gridCol w:w="5040"/>
      </w:tblGrid>
      <w:tr>
        <w:trPr>
          <w:tblHeader w:val="true"/>
          <w:cantSplit/>
        </w:trPr>
        <w:tc>
          <w:tcPr>
            <w:tcW w:type="dxa" w:w="3331"/>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Classification</w:t>
            </w:r>
          </w:p>
        </w:tc>
        <w:tc>
          <w:tcPr>
            <w:tcW w:type="dxa" w:w="3331"/>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Count</w:t>
            </w:r>
          </w:p>
        </w:tc>
        <w:tc>
          <w:tcPr>
            <w:tcW w:type="dxa" w:w="3331"/>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Interpretation</w:t>
            </w:r>
          </w:p>
        </w:tc>
      </w:tr>
      <w:tr>
        <w:trPr>
          <w:cantSplit/>
        </w:trPr>
        <w:tc>
          <w:tcPr>
            <w:tcW w:type="dxa" w:w="38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Candidate duplicate pairs reviewed</w:t>
            </w:r>
          </w:p>
        </w:tc>
        <w:tc>
          <w:tcPr>
            <w:tcW w:type="dxa" w:w="93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27</w:t>
            </w:r>
          </w:p>
        </w:tc>
        <w:tc>
          <w:tcPr>
            <w:tcW w:type="dxa" w:w="504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All reviewed by steward</w:t>
            </w:r>
          </w:p>
        </w:tc>
      </w:tr>
      <w:tr>
        <w:trPr>
          <w:cantSplit/>
        </w:trPr>
        <w:tc>
          <w:tcPr>
            <w:tcW w:type="dxa" w:w="38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Confirmed duplicate rows consolidated</w:t>
            </w:r>
          </w:p>
        </w:tc>
        <w:tc>
          <w:tcPr>
            <w:tcW w:type="dxa" w:w="93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18</w:t>
            </w:r>
          </w:p>
        </w:tc>
        <w:tc>
          <w:tcPr>
            <w:tcW w:type="dxa" w:w="504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18 removed from source count; lineage preserved</w:t>
            </w:r>
          </w:p>
        </w:tc>
      </w:tr>
      <w:tr>
        <w:trPr>
          <w:cantSplit/>
        </w:trPr>
        <w:tc>
          <w:tcPr>
            <w:tcW w:type="dxa" w:w="38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False-positive candidate pairs retained</w:t>
            </w:r>
          </w:p>
        </w:tc>
        <w:tc>
          <w:tcPr>
            <w:tcW w:type="dxa" w:w="93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9</w:t>
            </w:r>
          </w:p>
        </w:tc>
        <w:tc>
          <w:tcPr>
            <w:tcW w:type="dxa" w:w="504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Records remain separate</w:t>
            </w:r>
          </w:p>
        </w:tc>
      </w:tr>
      <w:tr>
        <w:trPr>
          <w:cantSplit/>
        </w:trPr>
        <w:tc>
          <w:tcPr>
            <w:tcW w:type="dxa" w:w="38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Canonical customer records released</w:t>
            </w:r>
          </w:p>
        </w:tc>
        <w:tc>
          <w:tcPr>
            <w:tcW w:type="dxa" w:w="93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462</w:t>
            </w:r>
          </w:p>
        </w:tc>
        <w:tc>
          <w:tcPr>
            <w:tcW w:type="dxa" w:w="504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480 input − 18 consolidated = 462</w:t>
            </w:r>
          </w:p>
        </w:tc>
      </w:tr>
    </w:tbl>
    <w:p>
      <w:pPr>
        <w:spacing w:after="0"/>
      </w:pPr>
    </w:p>
    <w:tbl>
      <w:tblPr>
        <w:tblW w:type="auto" w:w="0"/>
        <w:tblLayout w:type="fixed"/>
        <w:tblLook w:firstColumn="1" w:firstRow="1" w:lastColumn="0" w:lastRow="0" w:noHBand="0" w:noVBand="1" w:val="04A0"/>
      </w:tblPr>
      <w:tblGrid>
        <w:gridCol w:w="9878"/>
      </w:tblGrid>
      <w:tr>
        <w:tc>
          <w:tcPr>
            <w:tcW w:type="dxa" w:w="9994"/>
            <w:shd w:fill="EAF3F5"/>
            <w:tcMar>
              <w:top w:w="120" w:type="dxa"/>
              <w:start w:w="140" w:type="dxa"/>
              <w:bottom w:w="120" w:type="dxa"/>
              <w:end w:w="140" w:type="dxa"/>
            </w:tcMar>
          </w:tcPr>
          <w:p>
            <w:r>
              <w:rPr>
                <w:rFonts w:ascii="Aptos" w:hAnsi="Aptos"/>
                <w:b/>
                <w:color w:val="087D8C"/>
                <w:sz w:val="16"/>
              </w:rPr>
              <w:t>REVIEW CAUTION</w:t>
            </w:r>
          </w:p>
          <w:p>
            <w:pPr>
              <w:spacing w:after="0"/>
            </w:pPr>
            <w:r>
              <w:t>The table shows representative adjudications, not all 27 source-pair investigations. All 27 simulated candidate pairs have a recorded disposition in the summary. These are constructed training results, not measured production-system performance.</w:t>
            </w:r>
          </w:p>
        </w:tc>
      </w:tr>
    </w:tbl>
    <w:p>
      <w:pPr>
        <w:spacing w:after="0"/>
      </w:pPr>
    </w:p>
    <w:p>
      <w:r>
        <w:br w:type="page"/>
      </w:r>
    </w:p>
    <w:p>
      <w:pPr>
        <w:spacing w:after="60"/>
      </w:pPr>
      <w:r>
        <w:rPr>
          <w:rFonts w:ascii="Aptos" w:hAnsi="Aptos"/>
          <w:b/>
          <w:color w:val="BA8F4D"/>
          <w:sz w:val="16"/>
        </w:rPr>
        <w:t>04 / GOLDEN RECORDS AND EXCEPTION ROUTING</w:t>
      </w:r>
    </w:p>
    <w:p>
      <w:pPr>
        <w:pStyle w:val="Heading1"/>
      </w:pPr>
      <w:r>
        <w:t>Approved canonical-master sample</w:t>
      </w:r>
    </w:p>
    <w:tbl>
      <w:tblPr>
        <w:tblW w:type="auto" w:w="0"/>
        <w:jc w:val="center"/>
        <w:tblLayout w:type="fixed"/>
        <w:tblLook w:firstColumn="1" w:firstRow="1" w:lastColumn="0" w:lastRow="0" w:noHBand="0" w:noVBand="1" w:val="04A0"/>
      </w:tblPr>
      <w:tblGrid>
        <w:gridCol w:w="1627"/>
        <w:gridCol w:w="2160"/>
        <w:gridCol w:w="3629"/>
        <w:gridCol w:w="792"/>
        <w:gridCol w:w="1584"/>
      </w:tblGrid>
      <w:tr>
        <w:trPr>
          <w:tblHeader w:val="true"/>
          <w:cantSplit/>
        </w:trPr>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Master ID</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Contributing source</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Legal name</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State</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Status</w:t>
            </w:r>
          </w:p>
        </w:tc>
      </w:tr>
      <w:tr>
        <w:trPr>
          <w:cantSplit/>
        </w:trPr>
        <w:tc>
          <w:tcPr>
            <w:tcW w:type="dxa" w:w="162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CUST-00019</w:t>
            </w:r>
          </w:p>
        </w:tc>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S-019 + S-204</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Marlow Business Supply</w:t>
            </w:r>
          </w:p>
        </w:tc>
        <w:tc>
          <w:tcPr>
            <w:tcW w:type="dxa" w:w="79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NC</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Active</w:t>
            </w:r>
          </w:p>
        </w:tc>
      </w:tr>
      <w:tr>
        <w:trPr>
          <w:cantSplit/>
        </w:trPr>
        <w:tc>
          <w:tcPr>
            <w:tcW w:type="dxa" w:w="162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CUST-00061</w:t>
            </w:r>
          </w:p>
        </w:tc>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S-061</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Willow Ridge Partners</w:t>
            </w:r>
          </w:p>
        </w:tc>
        <w:tc>
          <w:tcPr>
            <w:tcW w:type="dxa" w:w="79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GA</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Active</w:t>
            </w:r>
          </w:p>
        </w:tc>
      </w:tr>
      <w:tr>
        <w:trPr>
          <w:cantSplit/>
        </w:trPr>
        <w:tc>
          <w:tcPr>
            <w:tcW w:type="dxa" w:w="162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CUST-00062</w:t>
            </w:r>
          </w:p>
        </w:tc>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S-062</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Willow Ridge Holdings</w:t>
            </w:r>
          </w:p>
        </w:tc>
        <w:tc>
          <w:tcPr>
            <w:tcW w:type="dxa" w:w="79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GA</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Prospect</w:t>
            </w:r>
          </w:p>
        </w:tc>
      </w:tr>
      <w:tr>
        <w:trPr>
          <w:cantSplit/>
        </w:trPr>
        <w:tc>
          <w:tcPr>
            <w:tcW w:type="dxa" w:w="162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CUST-00097</w:t>
            </w:r>
          </w:p>
        </w:tc>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S-097 + S-371</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Stonebrook Analytics</w:t>
            </w:r>
          </w:p>
        </w:tc>
        <w:tc>
          <w:tcPr>
            <w:tcW w:type="dxa" w:w="79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VA</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Active</w:t>
            </w:r>
          </w:p>
        </w:tc>
      </w:tr>
      <w:tr>
        <w:trPr>
          <w:cantSplit/>
        </w:trPr>
        <w:tc>
          <w:tcPr>
            <w:tcW w:type="dxa" w:w="162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CUST-00155</w:t>
            </w:r>
          </w:p>
        </w:tc>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S-155</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Solace Health Equipment</w:t>
            </w:r>
          </w:p>
        </w:tc>
        <w:tc>
          <w:tcPr>
            <w:tcW w:type="dxa" w:w="79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SC</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Active</w:t>
            </w:r>
          </w:p>
        </w:tc>
      </w:tr>
      <w:tr>
        <w:trPr>
          <w:cantSplit/>
        </w:trPr>
        <w:tc>
          <w:tcPr>
            <w:tcW w:type="dxa" w:w="162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CUST-00157</w:t>
            </w:r>
          </w:p>
        </w:tc>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S-157</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Solace Medical Services</w:t>
            </w:r>
          </w:p>
        </w:tc>
        <w:tc>
          <w:tcPr>
            <w:tcW w:type="dxa" w:w="79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SC</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Active</w:t>
            </w:r>
          </w:p>
        </w:tc>
      </w:tr>
      <w:tr>
        <w:trPr>
          <w:cantSplit/>
        </w:trPr>
        <w:tc>
          <w:tcPr>
            <w:tcW w:type="dxa" w:w="1627"/>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CUST-00222</w:t>
            </w:r>
          </w:p>
        </w:tc>
        <w:tc>
          <w:tcPr>
            <w:tcW w:type="dxa" w:w="216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S-222 + S-228</w:t>
            </w:r>
          </w:p>
        </w:tc>
        <w:tc>
          <w:tcPr>
            <w:tcW w:type="dxa" w:w="362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Briar &amp; Finch Creative</w:t>
            </w:r>
          </w:p>
        </w:tc>
        <w:tc>
          <w:tcPr>
            <w:tcW w:type="dxa" w:w="79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NC</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Active</w:t>
            </w:r>
          </w:p>
        </w:tc>
      </w:tr>
    </w:tbl>
    <w:p>
      <w:pPr>
        <w:spacing w:after="0"/>
      </w:pPr>
    </w:p>
    <w:p>
      <w:pPr>
        <w:pStyle w:val="Heading2"/>
      </w:pPr>
      <w:r>
        <w:t>Open issues by owned queue</w:t>
      </w:r>
    </w:p>
    <w:tbl>
      <w:tblPr>
        <w:tblW w:type="auto" w:w="0"/>
        <w:jc w:val="center"/>
        <w:tblLayout w:type="fixed"/>
        <w:tblLook w:firstColumn="1" w:firstRow="1" w:lastColumn="0" w:lastRow="0" w:noHBand="0" w:noVBand="1" w:val="04A0"/>
      </w:tblPr>
      <w:tblGrid>
        <w:gridCol w:w="1166"/>
        <w:gridCol w:w="2981"/>
        <w:gridCol w:w="1685"/>
        <w:gridCol w:w="979"/>
        <w:gridCol w:w="2981"/>
      </w:tblGrid>
      <w:tr>
        <w:trPr>
          <w:tblHeader w:val="true"/>
          <w:cantSplit/>
        </w:trPr>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Ticket</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Control failure</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Owner</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Count</w:t>
            </w:r>
          </w:p>
        </w:tc>
        <w:tc>
          <w:tcPr>
            <w:tcW w:type="dxa" w:w="1999"/>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Action</w:t>
            </w:r>
          </w:p>
        </w:tc>
      </w:tr>
      <w:tr>
        <w:trPr>
          <w:cantSplit/>
        </w:trPr>
        <w:tc>
          <w:tcPr>
            <w:tcW w:type="dxa" w:w="116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DQ-021</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Missing active account owner</w:t>
            </w:r>
          </w:p>
        </w:tc>
        <w:tc>
          <w:tcPr>
            <w:tcW w:type="dxa" w:w="168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Sales Ops</w:t>
            </w:r>
          </w:p>
        </w:tc>
        <w:tc>
          <w:tcPr>
            <w:tcW w:type="dxa" w:w="97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10</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Assign / verify owner mapping</w:t>
            </w:r>
          </w:p>
        </w:tc>
      </w:tr>
      <w:tr>
        <w:trPr>
          <w:cantSplit/>
        </w:trPr>
        <w:tc>
          <w:tcPr>
            <w:tcW w:type="dxa" w:w="116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DQ-022</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Invalid or unknown state code</w:t>
            </w:r>
          </w:p>
        </w:tc>
        <w:tc>
          <w:tcPr>
            <w:tcW w:type="dxa" w:w="168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CRM Admin</w:t>
            </w:r>
          </w:p>
        </w:tc>
        <w:tc>
          <w:tcPr>
            <w:tcW w:type="dxa" w:w="97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3</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Verify authoritative geography</w:t>
            </w:r>
          </w:p>
        </w:tc>
      </w:tr>
      <w:tr>
        <w:trPr>
          <w:cantSplit/>
        </w:trPr>
        <w:tc>
          <w:tcPr>
            <w:tcW w:type="dxa" w:w="116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DQ-023</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Unconfirmed account alias (nonblocking)</w:t>
            </w:r>
          </w:p>
        </w:tc>
        <w:tc>
          <w:tcPr>
            <w:tcW w:type="dxa" w:w="168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Data Steward</w:t>
            </w:r>
          </w:p>
        </w:tc>
        <w:tc>
          <w:tcPr>
            <w:tcW w:type="dxa" w:w="97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1</w:t>
            </w:r>
          </w:p>
        </w:tc>
        <w:tc>
          <w:tcPr>
            <w:tcW w:type="dxa" w:w="298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Retain original until verified</w:t>
            </w:r>
          </w:p>
        </w:tc>
      </w:tr>
    </w:tbl>
    <w:p>
      <w:pPr>
        <w:spacing w:after="0"/>
      </w:pPr>
    </w:p>
    <w:p>
      <w:r>
        <w:t>The 13 blocking records (10 missing owner, 3 invalid state) are distinct in this simulated snapshot. The separate one-record alias question is a nonblocking review item and does not alter those 13 counts.</w:t>
      </w:r>
    </w:p>
    <w:p>
      <w:r>
        <w:br w:type="page"/>
      </w:r>
    </w:p>
    <w:p>
      <w:pPr>
        <w:spacing w:after="60"/>
      </w:pPr>
      <w:r>
        <w:rPr>
          <w:rFonts w:ascii="Aptos" w:hAnsi="Aptos"/>
          <w:b/>
          <w:color w:val="BA8F4D"/>
          <w:sz w:val="16"/>
        </w:rPr>
        <w:t>05 / QUALITY KPIS &amp; LINEAGE</w:t>
      </w:r>
    </w:p>
    <w:p>
      <w:pPr>
        <w:pStyle w:val="Heading1"/>
      </w:pPr>
      <w:r>
        <w:t>Quality scorecard — published snapshot</w:t>
      </w:r>
    </w:p>
    <w:tbl>
      <w:tblPr>
        <w:tblW w:type="auto" w:w="0"/>
        <w:jc w:val="center"/>
        <w:tblLayout w:type="fixed"/>
        <w:tblLook w:firstColumn="1" w:firstRow="1" w:lastColumn="0" w:lastRow="0" w:noHBand="0" w:noVBand="1" w:val="04A0"/>
      </w:tblPr>
      <w:tblGrid>
        <w:gridCol w:w="2880"/>
        <w:gridCol w:w="3456"/>
        <w:gridCol w:w="1584"/>
        <w:gridCol w:w="1872"/>
      </w:tblGrid>
      <w:tr>
        <w:trPr>
          <w:tblHeader w:val="true"/>
          <w:cantSplit/>
        </w:trPr>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Metric</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Calculation</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Result</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Target</w:t>
            </w:r>
          </w:p>
        </w:tc>
      </w:tr>
      <w:tr>
        <w:trPr>
          <w:cantSplit/>
        </w:trPr>
        <w:tc>
          <w:tcPr>
            <w:tcW w:type="dxa" w:w="288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Source-to-master reconciliation</w:t>
            </w:r>
          </w:p>
        </w:tc>
        <w:tc>
          <w:tcPr>
            <w:tcW w:type="dxa" w:w="345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480 − 18 = 462</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462 rows</w:t>
            </w:r>
          </w:p>
        </w:tc>
        <w:tc>
          <w:tcPr>
            <w:tcW w:type="dxa" w:w="187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Exact</w:t>
            </w:r>
          </w:p>
        </w:tc>
      </w:tr>
      <w:tr>
        <w:trPr>
          <w:cantSplit/>
        </w:trPr>
        <w:tc>
          <w:tcPr>
            <w:tcW w:type="dxa" w:w="288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Owner completeness</w:t>
            </w:r>
          </w:p>
        </w:tc>
        <w:tc>
          <w:tcPr>
            <w:tcW w:type="dxa" w:w="345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452 / 462 nonblank valid owners</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97.84%</w:t>
            </w:r>
          </w:p>
        </w:tc>
        <w:tc>
          <w:tcPr>
            <w:tcW w:type="dxa" w:w="187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 99.0%</w:t>
            </w:r>
          </w:p>
        </w:tc>
      </w:tr>
      <w:tr>
        <w:trPr>
          <w:cantSplit/>
        </w:trPr>
        <w:tc>
          <w:tcPr>
            <w:tcW w:type="dxa" w:w="288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State validity</w:t>
            </w:r>
          </w:p>
        </w:tc>
        <w:tc>
          <w:tcPr>
            <w:tcW w:type="dxa" w:w="345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459 / 462 valid codes</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99.35%</w:t>
            </w:r>
          </w:p>
        </w:tc>
        <w:tc>
          <w:tcPr>
            <w:tcW w:type="dxa" w:w="187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 99.5%</w:t>
            </w:r>
          </w:p>
        </w:tc>
      </w:tr>
      <w:tr>
        <w:trPr>
          <w:cantSplit/>
        </w:trPr>
        <w:tc>
          <w:tcPr>
            <w:tcW w:type="dxa" w:w="288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Duplicate decisions</w:t>
            </w:r>
          </w:p>
        </w:tc>
        <w:tc>
          <w:tcPr>
            <w:tcW w:type="dxa" w:w="345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27 / 27 candidate pairs adjudicated</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100.00%</w:t>
            </w:r>
          </w:p>
        </w:tc>
        <w:tc>
          <w:tcPr>
            <w:tcW w:type="dxa" w:w="187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100%</w:t>
            </w:r>
          </w:p>
        </w:tc>
      </w:tr>
      <w:tr>
        <w:trPr>
          <w:cantSplit/>
        </w:trPr>
        <w:tc>
          <w:tcPr>
            <w:tcW w:type="dxa" w:w="2880"/>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Unresolved blocking exceptions</w:t>
            </w:r>
          </w:p>
        </w:tc>
        <w:tc>
          <w:tcPr>
            <w:tcW w:type="dxa" w:w="345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10 owner + 3 region items</w:t>
            </w:r>
          </w:p>
        </w:tc>
        <w:tc>
          <w:tcPr>
            <w:tcW w:type="dxa" w:w="1584"/>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13</w:t>
            </w:r>
          </w:p>
        </w:tc>
        <w:tc>
          <w:tcPr>
            <w:tcW w:type="dxa" w:w="1872"/>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0</w:t>
            </w:r>
          </w:p>
        </w:tc>
      </w:tr>
    </w:tbl>
    <w:p>
      <w:pPr>
        <w:spacing w:after="0"/>
      </w:pPr>
    </w:p>
    <w:p>
      <w:pPr>
        <w:pStyle w:val="Heading2"/>
      </w:pPr>
      <w:r>
        <w:t>Data lineage narrative</w:t>
      </w:r>
    </w:p>
    <w:p>
      <w:pPr>
        <w:ind w:left="202" w:hanging="187"/>
      </w:pPr>
      <w:r>
        <w:rPr>
          <w:rFonts w:ascii="Aptos" w:hAnsi="Aptos"/>
          <w:b/>
          <w:color w:val="087D8C"/>
          <w:sz w:val="18"/>
        </w:rPr>
        <w:t xml:space="preserve">01  </w:t>
      </w:r>
      <w:r>
        <w:t>Source acquisition: sales CRM and onboarding export (batch snapshots) are ingested with original source keys intact.</w:t>
      </w:r>
    </w:p>
    <w:p>
      <w:pPr>
        <w:ind w:left="202" w:hanging="187"/>
      </w:pPr>
      <w:r>
        <w:rPr>
          <w:rFonts w:ascii="Aptos" w:hAnsi="Aptos"/>
          <w:b/>
          <w:color w:val="087D8C"/>
          <w:sz w:val="18"/>
        </w:rPr>
        <w:t xml:space="preserve">02  </w:t>
      </w:r>
      <w:r>
        <w:t>Validation: required-field checks, code-list checks, reference-owner matching, and candidate duplicate detection.</w:t>
      </w:r>
    </w:p>
    <w:p>
      <w:pPr>
        <w:ind w:left="202" w:hanging="187"/>
      </w:pPr>
      <w:r>
        <w:rPr>
          <w:rFonts w:ascii="Aptos" w:hAnsi="Aptos"/>
          <w:b/>
          <w:color w:val="087D8C"/>
          <w:sz w:val="18"/>
        </w:rPr>
        <w:t xml:space="preserve">03  </w:t>
      </w:r>
      <w:r>
        <w:t>Steward adjudication: each candidate pair receives Merge or Keep with a reason and evidence key.</w:t>
      </w:r>
    </w:p>
    <w:p>
      <w:pPr>
        <w:ind w:left="202" w:hanging="187"/>
      </w:pPr>
      <w:r>
        <w:rPr>
          <w:rFonts w:ascii="Aptos" w:hAnsi="Aptos"/>
          <w:b/>
          <w:color w:val="087D8C"/>
          <w:sz w:val="18"/>
        </w:rPr>
        <w:t xml:space="preserve">04  </w:t>
      </w:r>
      <w:r>
        <w:t>Canonicalization: resolved records receive a stable master ID and an array of contributing source IDs.</w:t>
      </w:r>
    </w:p>
    <w:p>
      <w:pPr>
        <w:ind w:left="202" w:hanging="187"/>
      </w:pPr>
      <w:r>
        <w:rPr>
          <w:rFonts w:ascii="Aptos" w:hAnsi="Aptos"/>
          <w:b/>
          <w:color w:val="087D8C"/>
          <w:sz w:val="18"/>
        </w:rPr>
        <w:t xml:space="preserve">05  </w:t>
      </w:r>
      <w:r>
        <w:t>Publication: release version stamped and quality scorecard attached; unresolved errors remain in owner queues.</w:t>
      </w:r>
    </w:p>
    <w:tbl>
      <w:tblPr>
        <w:tblW w:type="auto" w:w="0"/>
        <w:tblLayout w:type="fixed"/>
        <w:tblLook w:firstColumn="1" w:firstRow="1" w:lastColumn="0" w:lastRow="0" w:noHBand="0" w:noVBand="1" w:val="04A0"/>
      </w:tblPr>
      <w:tblGrid>
        <w:gridCol w:w="9878"/>
      </w:tblGrid>
      <w:tr>
        <w:tc>
          <w:tcPr>
            <w:tcW w:type="dxa" w:w="9994"/>
            <w:shd w:fill="EAF3F5"/>
            <w:tcMar>
              <w:top w:w="120" w:type="dxa"/>
              <w:start w:w="140" w:type="dxa"/>
              <w:bottom w:w="120" w:type="dxa"/>
              <w:end w:w="140" w:type="dxa"/>
            </w:tcMar>
          </w:tcPr>
          <w:p>
            <w:r>
              <w:rPr>
                <w:rFonts w:ascii="Aptos" w:hAnsi="Aptos"/>
                <w:b/>
                <w:color w:val="087D8C"/>
                <w:sz w:val="16"/>
              </w:rPr>
              <w:t>INTERPRETATION</w:t>
            </w:r>
          </w:p>
          <w:p>
            <w:pPr>
              <w:spacing w:after="0"/>
            </w:pPr>
            <w:r>
              <w:t>The released dataset contains 462 master records but falls below the stated owner-completeness and state-validity targets. It is explicitly a conditional release for noncritical internal reporting; downstream operational uses requiring complete ownership are blocked until defects are resolved.</w:t>
            </w:r>
          </w:p>
        </w:tc>
      </w:tr>
    </w:tbl>
    <w:p>
      <w:pPr>
        <w:spacing w:after="0"/>
      </w:pPr>
    </w:p>
    <w:p>
      <w:r>
        <w:br w:type="page"/>
      </w:r>
    </w:p>
    <w:p>
      <w:pPr>
        <w:spacing w:after="60"/>
      </w:pPr>
      <w:r>
        <w:rPr>
          <w:rFonts w:ascii="Aptos" w:hAnsi="Aptos"/>
          <w:b/>
          <w:color w:val="BA8F4D"/>
          <w:sz w:val="16"/>
        </w:rPr>
        <w:t>06 / OPERATING MODEL &amp; RELEASE</w:t>
      </w:r>
    </w:p>
    <w:p>
      <w:pPr>
        <w:pStyle w:val="Heading1"/>
      </w:pPr>
      <w:r>
        <w:t>Stewardship operating procedure</w:t>
      </w:r>
    </w:p>
    <w:p>
      <w:pPr>
        <w:ind w:left="202" w:hanging="187"/>
      </w:pPr>
      <w:r>
        <w:rPr>
          <w:rFonts w:ascii="Aptos" w:hAnsi="Aptos"/>
          <w:b/>
          <w:color w:val="087D8C"/>
          <w:sz w:val="18"/>
        </w:rPr>
        <w:t xml:space="preserve">01  </w:t>
      </w:r>
      <w:r>
        <w:t>Maintain a versioned business glossary and approved field dictionary.</w:t>
      </w:r>
    </w:p>
    <w:p>
      <w:pPr>
        <w:ind w:left="202" w:hanging="187"/>
      </w:pPr>
      <w:r>
        <w:rPr>
          <w:rFonts w:ascii="Aptos" w:hAnsi="Aptos"/>
          <w:b/>
          <w:color w:val="087D8C"/>
          <w:sz w:val="18"/>
        </w:rPr>
        <w:t xml:space="preserve">02  </w:t>
      </w:r>
      <w:r>
        <w:t>Ingest immutable source snapshots and capture the extraction time, origin, and row count.</w:t>
      </w:r>
    </w:p>
    <w:p>
      <w:pPr>
        <w:ind w:left="202" w:hanging="187"/>
      </w:pPr>
      <w:r>
        <w:rPr>
          <w:rFonts w:ascii="Aptos" w:hAnsi="Aptos"/>
          <w:b/>
          <w:color w:val="087D8C"/>
          <w:sz w:val="18"/>
        </w:rPr>
        <w:t xml:space="preserve">03  </w:t>
      </w:r>
      <w:r>
        <w:t>Validate required fields and reference lists; report population-based denominators.</w:t>
      </w:r>
    </w:p>
    <w:p>
      <w:pPr>
        <w:ind w:left="202" w:hanging="187"/>
      </w:pPr>
      <w:r>
        <w:rPr>
          <w:rFonts w:ascii="Aptos" w:hAnsi="Aptos"/>
          <w:b/>
          <w:color w:val="087D8C"/>
          <w:sz w:val="18"/>
        </w:rPr>
        <w:t xml:space="preserve">04  </w:t>
      </w:r>
      <w:r>
        <w:t>Generate duplicate candidates and review evidence with a two-person approval for irreversible merges.</w:t>
      </w:r>
    </w:p>
    <w:p>
      <w:pPr>
        <w:ind w:left="202" w:hanging="187"/>
      </w:pPr>
      <w:r>
        <w:rPr>
          <w:rFonts w:ascii="Aptos" w:hAnsi="Aptos"/>
          <w:b/>
          <w:color w:val="087D8C"/>
          <w:sz w:val="18"/>
        </w:rPr>
        <w:t xml:space="preserve">05  </w:t>
      </w:r>
      <w:r>
        <w:t>Publish canonical mapping plus source-key lineage; never discard adjudication evidence.</w:t>
      </w:r>
    </w:p>
    <w:p>
      <w:pPr>
        <w:ind w:left="202" w:hanging="187"/>
      </w:pPr>
      <w:r>
        <w:rPr>
          <w:rFonts w:ascii="Aptos" w:hAnsi="Aptos"/>
          <w:b/>
          <w:color w:val="087D8C"/>
          <w:sz w:val="18"/>
        </w:rPr>
        <w:t xml:space="preserve">06  </w:t>
      </w:r>
      <w:r>
        <w:t>Assign each open issue a severity, accountable owner, due date, and closure test.</w:t>
      </w:r>
    </w:p>
    <w:p>
      <w:pPr>
        <w:ind w:left="202" w:hanging="187"/>
      </w:pPr>
      <w:r>
        <w:rPr>
          <w:rFonts w:ascii="Aptos" w:hAnsi="Aptos"/>
          <w:b/>
          <w:color w:val="087D8C"/>
          <w:sz w:val="18"/>
        </w:rPr>
        <w:t xml:space="preserve">07  </w:t>
      </w:r>
      <w:r>
        <w:t>Publish dashboard measures with explicit definitions, as-of date, and permitted use.</w:t>
      </w:r>
    </w:p>
    <w:p>
      <w:pPr>
        <w:ind w:left="202" w:hanging="187"/>
      </w:pPr>
      <w:r>
        <w:rPr>
          <w:rFonts w:ascii="Aptos" w:hAnsi="Aptos"/>
          <w:b/>
          <w:color w:val="087D8C"/>
          <w:sz w:val="18"/>
        </w:rPr>
        <w:t xml:space="preserve">08  </w:t>
      </w:r>
      <w:r>
        <w:t>Re-run controls after corrections and require a change log and signoff before the next release.</w:t>
      </w:r>
    </w:p>
    <w:p>
      <w:pPr>
        <w:pStyle w:val="Heading2"/>
      </w:pPr>
      <w:r>
        <w:t>Ownership and escalation matrix</w:t>
      </w:r>
    </w:p>
    <w:tbl>
      <w:tblPr>
        <w:tblW w:type="auto" w:w="0"/>
        <w:jc w:val="center"/>
        <w:tblLayout w:type="fixed"/>
        <w:tblLook w:firstColumn="1" w:firstRow="1" w:lastColumn="0" w:lastRow="0" w:noHBand="0" w:noVBand="1" w:val="04A0"/>
      </w:tblPr>
      <w:tblGrid>
        <w:gridCol w:w="2275"/>
        <w:gridCol w:w="2419"/>
        <w:gridCol w:w="2491"/>
        <w:gridCol w:w="2606"/>
      </w:tblGrid>
      <w:tr>
        <w:trPr>
          <w:tblHeader w:val="true"/>
          <w:cantSplit/>
        </w:trPr>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Issue</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Day 1</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Day 3</w:t>
            </w:r>
          </w:p>
        </w:tc>
        <w:tc>
          <w:tcPr>
            <w:tcW w:type="dxa" w:w="2498"/>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Day 5</w:t>
            </w:r>
          </w:p>
        </w:tc>
      </w:tr>
      <w:tr>
        <w:trPr>
          <w:cantSplit/>
        </w:trPr>
        <w:tc>
          <w:tcPr>
            <w:tcW w:type="dxa" w:w="227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Missing account owner</w:t>
            </w:r>
          </w:p>
        </w:tc>
        <w:tc>
          <w:tcPr>
            <w:tcW w:type="dxa" w:w="241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Assign Sales Ops ticket</w:t>
            </w:r>
          </w:p>
        </w:tc>
        <w:tc>
          <w:tcPr>
            <w:tcW w:type="dxa" w:w="249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Manager follow-up</w:t>
            </w:r>
          </w:p>
        </w:tc>
        <w:tc>
          <w:tcPr>
            <w:tcW w:type="dxa" w:w="260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Escalate to RevOps lead</w:t>
            </w:r>
          </w:p>
        </w:tc>
      </w:tr>
      <w:tr>
        <w:trPr>
          <w:cantSplit/>
        </w:trPr>
        <w:tc>
          <w:tcPr>
            <w:tcW w:type="dxa" w:w="227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Invalid state code</w:t>
            </w:r>
          </w:p>
        </w:tc>
        <w:tc>
          <w:tcPr>
            <w:tcW w:type="dxa" w:w="241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CRM Admin checks source</w:t>
            </w:r>
          </w:p>
        </w:tc>
        <w:tc>
          <w:tcPr>
            <w:tcW w:type="dxa" w:w="249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Source owner confirms</w:t>
            </w:r>
          </w:p>
        </w:tc>
        <w:tc>
          <w:tcPr>
            <w:tcW w:type="dxa" w:w="260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5"/>
              </w:rPr>
              <w:t>Escalate as data contract breach</w:t>
            </w:r>
          </w:p>
        </w:tc>
      </w:tr>
      <w:tr>
        <w:trPr>
          <w:cantSplit/>
        </w:trPr>
        <w:tc>
          <w:tcPr>
            <w:tcW w:type="dxa" w:w="2275"/>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Disputed merge</w:t>
            </w:r>
          </w:p>
        </w:tc>
        <w:tc>
          <w:tcPr>
            <w:tcW w:type="dxa" w:w="2419"/>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Steward opens evidence review</w:t>
            </w:r>
          </w:p>
        </w:tc>
        <w:tc>
          <w:tcPr>
            <w:tcW w:type="dxa" w:w="2491"/>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Second-person adjudication</w:t>
            </w:r>
          </w:p>
        </w:tc>
        <w:tc>
          <w:tcPr>
            <w:tcW w:type="dxa" w:w="260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5"/>
              </w:rPr>
              <w:t>Refer to business data owner</w:t>
            </w:r>
          </w:p>
        </w:tc>
      </w:tr>
    </w:tbl>
    <w:p>
      <w:pPr>
        <w:spacing w:after="0"/>
      </w:pPr>
    </w:p>
    <w:p>
      <w:pPr>
        <w:pStyle w:val="Heading2"/>
      </w:pPr>
      <w:r>
        <w:t>CONTROLLED RELEASE</w:t>
      </w:r>
    </w:p>
    <w:tbl>
      <w:tblPr>
        <w:tblW w:type="auto" w:w="0"/>
        <w:jc w:val="center"/>
        <w:tblLayout w:type="fixed"/>
        <w:tblLook w:firstColumn="1" w:firstRow="1" w:lastColumn="0" w:lastRow="0" w:noHBand="0" w:noVBand="1" w:val="04A0"/>
      </w:tblPr>
      <w:tblGrid>
        <w:gridCol w:w="2376"/>
        <w:gridCol w:w="7416"/>
      </w:tblGrid>
      <w:tr>
        <w:trPr>
          <w:tblHeader w:val="true"/>
          <w:cantSplit/>
        </w:trPr>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Control</w:t>
            </w:r>
          </w:p>
        </w:tc>
        <w:tc>
          <w:tcPr>
            <w:tcW w:type="dxa" w:w="4997"/>
            <w:shd w:fill="16263F"/>
            <w:tcMar>
              <w:top w:w="85" w:type="dxa"/>
              <w:start w:w="100" w:type="dxa"/>
              <w:bottom w:w="85" w:type="dxa"/>
              <w:end w:w="100" w:type="dxa"/>
            </w:tcMar>
            <w:tcBorders>
              <w:bottom w:val="single" w:sz="3" w:color="D8E1EA"/>
              <w:top w:val="single" w:sz="3" w:color="D8E1EA"/>
              <w:left w:val="single" w:sz="3" w:color="D8E1EA"/>
              <w:right w:val="single" w:sz="3" w:color="D8E1EA"/>
            </w:tcBorders>
          </w:tcPr>
          <w:p>
            <w:pPr>
              <w:pStyle w:val="TableHead"/>
            </w:pPr>
            <w:r>
              <w:rPr>
                <w:rFonts w:ascii="Aptos" w:hAnsi="Aptos"/>
                <w:b/>
                <w:color w:val="FFFFFF"/>
                <w:sz w:val="16"/>
              </w:rPr>
              <w:t>Final result</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Document owner</w:t>
            </w:r>
          </w:p>
        </w:tc>
        <w:tc>
          <w:tcPr>
            <w:tcW w:type="dxa" w:w="74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Enterprise Data Governance / Data Steward</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Review state</w:t>
            </w:r>
          </w:p>
        </w:tc>
        <w:tc>
          <w:tcPr>
            <w:tcW w:type="dxa" w:w="74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Conditional internal reporting release; 13 blocking defects remain queued</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Review date</w:t>
            </w:r>
          </w:p>
        </w:tc>
        <w:tc>
          <w:tcPr>
            <w:tcW w:type="dxa" w:w="74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tcPr>
          <w:p>
            <w:pPr>
              <w:pStyle w:val="TableData"/>
            </w:pPr>
            <w:r>
              <w:rPr>
                <w:rFonts w:ascii="Aptos" w:hAnsi="Aptos"/>
                <w:color w:val="1B2635"/>
                <w:sz w:val="16"/>
              </w:rPr>
              <w:t>2026-10-27</w:t>
            </w:r>
          </w:p>
        </w:tc>
      </w:tr>
      <w:tr>
        <w:trPr>
          <w:cantSplit/>
        </w:trPr>
        <w:tc>
          <w:tcPr>
            <w:tcW w:type="dxa" w:w="237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Data classification</w:t>
            </w:r>
          </w:p>
        </w:tc>
        <w:tc>
          <w:tcPr>
            <w:tcW w:type="dxa" w:w="7416"/>
            <w:vAlign w:val="center"/>
            <w:tcMar>
              <w:top w:w="78" w:type="dxa"/>
              <w:start w:w="90" w:type="dxa"/>
              <w:bottom w:w="78" w:type="dxa"/>
              <w:end w:w="90" w:type="dxa"/>
            </w:tcMar>
            <w:tcBorders>
              <w:bottom w:val="single" w:sz="3" w:color="D8E1EA"/>
              <w:top w:val="single" w:sz="3" w:color="D8E1EA"/>
              <w:left w:val="single" w:sz="3" w:color="D8E1EA"/>
              <w:right w:val="single" w:sz="3" w:color="D8E1EA"/>
            </w:tcBorders>
            <w:shd w:fill="F3F6FA"/>
          </w:tcPr>
          <w:p>
            <w:pPr>
              <w:pStyle w:val="TableData"/>
            </w:pPr>
            <w:r>
              <w:rPr>
                <w:rFonts w:ascii="Aptos" w:hAnsi="Aptos"/>
                <w:color w:val="1B2635"/>
                <w:sz w:val="16"/>
              </w:rPr>
              <w:t>Fictional sample / no real personal, financial, or medical data</w:t>
            </w:r>
          </w:p>
        </w:tc>
      </w:tr>
    </w:tbl>
    <w:p>
      <w:pPr>
        <w:spacing w:after="0"/>
      </w:pPr>
    </w:p>
    <w:p>
      <w:r>
        <w:br w:type="page"/>
      </w:r>
    </w:p>
    <w:p>
      <w:pPr>
        <w:spacing w:after="80"/>
      </w:pPr>
      <w:r>
        <w:rPr>
          <w:b/>
          <w:color w:val="087D8C"/>
          <w:sz w:val="16"/>
        </w:rPr>
        <w:t>07 / REPRODUCIBLE EVIDENCE</w:t>
      </w:r>
    </w:p>
    <w:p>
      <w:pPr>
        <w:pStyle w:val="Heading1"/>
      </w:pPr>
      <w:r>
        <w:t>480-row source and 462-row canonical master</w:t>
      </w:r>
    </w:p>
    <w:p>
      <w:r>
        <w:rPr>
          <w:b w:val="0"/>
        </w:rPr>
        <w:t>This version replaces an aggregate-only simulation with a complete reproducible synthetic data pack. All 480 source IDs, 462 published master entries, 27 pair-level decisions and 14 issue tickets are supplied as UTF-8 CSVs. No real accounts or customers are included.</w:t>
      </w:r>
    </w:p>
    <w:tbl>
      <w:tblPr>
        <w:tblW w:type="auto" w:w="0"/>
        <w:tblLayout w:type="fixed"/>
        <w:tblLook w:firstColumn="1" w:firstRow="1" w:lastColumn="0" w:lastRow="0" w:noHBand="0" w:noVBand="1" w:val="04A0"/>
      </w:tblPr>
      <w:tblGrid>
        <w:gridCol w:w="5904"/>
        <w:gridCol w:w="3888"/>
      </w:tblGrid>
      <w:tr>
        <w:trPr>
          <w:tblHeader w:val="true"/>
        </w:trPr>
        <w:tc>
          <w:tcPr>
            <w:tcW w:type="dxa" w:w="4997"/>
            <w:vAlign w:val="center"/>
            <w:shd w:fill="16263F"/>
          </w:tcPr>
          <w:p>
            <w:r>
              <w:rPr>
                <w:b/>
                <w:color w:val="FFFFFF"/>
                <w:sz w:val="16"/>
              </w:rPr>
              <w:t>Population control</w:t>
            </w:r>
          </w:p>
        </w:tc>
        <w:tc>
          <w:tcPr>
            <w:tcW w:type="dxa" w:w="4997"/>
            <w:vAlign w:val="center"/>
            <w:shd w:fill="16263F"/>
          </w:tcPr>
          <w:p>
            <w:r>
              <w:rPr>
                <w:b/>
                <w:color w:val="FFFFFF"/>
                <w:sz w:val="16"/>
              </w:rPr>
              <w:t>Recomputed count</w:t>
            </w:r>
          </w:p>
        </w:tc>
      </w:tr>
      <w:tr>
        <w:trPr>
          <w:cantSplit/>
        </w:trPr>
        <w:tc>
          <w:tcPr>
            <w:tcW w:type="dxa" w:w="5904"/>
          </w:tcPr>
          <w:p>
            <w:pPr>
              <w:spacing w:after="0"/>
            </w:pPr>
            <w:r>
              <w:rPr>
                <w:sz w:val="15"/>
              </w:rPr>
              <w:t>Source batch rows</w:t>
            </w:r>
          </w:p>
        </w:tc>
        <w:tc>
          <w:tcPr>
            <w:tcW w:type="dxa" w:w="3888"/>
          </w:tcPr>
          <w:p>
            <w:pPr>
              <w:spacing w:after="0"/>
            </w:pPr>
            <w:r>
              <w:rPr>
                <w:sz w:val="15"/>
              </w:rPr>
              <w:t>480</w:t>
            </w:r>
          </w:p>
        </w:tc>
      </w:tr>
      <w:tr>
        <w:trPr>
          <w:cantSplit/>
        </w:trPr>
        <w:tc>
          <w:tcPr>
            <w:tcW w:type="dxa" w:w="5904"/>
            <w:shd w:fill="F3F6FA"/>
          </w:tcPr>
          <w:p>
            <w:pPr>
              <w:spacing w:after="0"/>
            </w:pPr>
            <w:r>
              <w:rPr>
                <w:sz w:val="15"/>
              </w:rPr>
              <w:t>Confirmed duplicate rows merged / preserved in lineage</w:t>
            </w:r>
          </w:p>
        </w:tc>
        <w:tc>
          <w:tcPr>
            <w:tcW w:type="dxa" w:w="3888"/>
            <w:shd w:fill="F3F6FA"/>
          </w:tcPr>
          <w:p>
            <w:pPr>
              <w:spacing w:after="0"/>
            </w:pPr>
            <w:r>
              <w:rPr>
                <w:sz w:val="15"/>
              </w:rPr>
              <w:t>18</w:t>
            </w:r>
          </w:p>
        </w:tc>
      </w:tr>
      <w:tr>
        <w:trPr>
          <w:cantSplit/>
        </w:trPr>
        <w:tc>
          <w:tcPr>
            <w:tcW w:type="dxa" w:w="5904"/>
          </w:tcPr>
          <w:p>
            <w:pPr>
              <w:spacing w:after="0"/>
            </w:pPr>
            <w:r>
              <w:rPr>
                <w:sz w:val="15"/>
              </w:rPr>
              <w:t>Canonical master rows released for limited use</w:t>
            </w:r>
          </w:p>
        </w:tc>
        <w:tc>
          <w:tcPr>
            <w:tcW w:type="dxa" w:w="3888"/>
          </w:tcPr>
          <w:p>
            <w:pPr>
              <w:spacing w:after="0"/>
            </w:pPr>
            <w:r>
              <w:rPr>
                <w:sz w:val="15"/>
              </w:rPr>
              <w:t>462</w:t>
            </w:r>
          </w:p>
        </w:tc>
      </w:tr>
      <w:tr>
        <w:trPr>
          <w:cantSplit/>
        </w:trPr>
        <w:tc>
          <w:tcPr>
            <w:tcW w:type="dxa" w:w="5904"/>
            <w:shd w:fill="F3F6FA"/>
          </w:tcPr>
          <w:p>
            <w:pPr>
              <w:spacing w:after="0"/>
            </w:pPr>
            <w:r>
              <w:rPr>
                <w:sz w:val="15"/>
              </w:rPr>
              <w:t>Reviewed candidate pairs</w:t>
            </w:r>
          </w:p>
        </w:tc>
        <w:tc>
          <w:tcPr>
            <w:tcW w:type="dxa" w:w="3888"/>
            <w:shd w:fill="F3F6FA"/>
          </w:tcPr>
          <w:p>
            <w:pPr>
              <w:spacing w:after="0"/>
            </w:pPr>
            <w:r>
              <w:rPr>
                <w:sz w:val="15"/>
              </w:rPr>
              <w:t>27 = 18 merge + 9 keep</w:t>
            </w:r>
          </w:p>
        </w:tc>
      </w:tr>
      <w:tr>
        <w:trPr>
          <w:cantSplit/>
        </w:trPr>
        <w:tc>
          <w:tcPr>
            <w:tcW w:type="dxa" w:w="5904"/>
          </w:tcPr>
          <w:p>
            <w:pPr>
              <w:spacing w:after="0"/>
            </w:pPr>
            <w:r>
              <w:rPr>
                <w:sz w:val="15"/>
              </w:rPr>
              <w:t>Distinct blocking records</w:t>
            </w:r>
          </w:p>
        </w:tc>
        <w:tc>
          <w:tcPr>
            <w:tcW w:type="dxa" w:w="3888"/>
          </w:tcPr>
          <w:p>
            <w:pPr>
              <w:spacing w:after="0"/>
            </w:pPr>
            <w:r>
              <w:rPr>
                <w:sz w:val="15"/>
              </w:rPr>
              <w:t>13 = 10 owner + 3 invalid region</w:t>
            </w:r>
          </w:p>
        </w:tc>
      </w:tr>
      <w:tr>
        <w:trPr>
          <w:cantSplit/>
        </w:trPr>
        <w:tc>
          <w:tcPr>
            <w:tcW w:type="dxa" w:w="5904"/>
            <w:shd w:fill="F3F6FA"/>
          </w:tcPr>
          <w:p>
            <w:pPr>
              <w:spacing w:after="0"/>
            </w:pPr>
            <w:r>
              <w:rPr>
                <w:sz w:val="15"/>
              </w:rPr>
              <w:t>Additional nonblocking alias review</w:t>
            </w:r>
          </w:p>
        </w:tc>
        <w:tc>
          <w:tcPr>
            <w:tcW w:type="dxa" w:w="3888"/>
            <w:shd w:fill="F3F6FA"/>
          </w:tcPr>
          <w:p>
            <w:pPr>
              <w:spacing w:after="0"/>
            </w:pPr>
            <w:r>
              <w:rPr>
                <w:sz w:val="15"/>
              </w:rPr>
              <w:t>1</w:t>
            </w:r>
          </w:p>
        </w:tc>
      </w:tr>
    </w:tbl>
    <w:p>
      <w:pPr>
        <w:spacing w:after="0"/>
      </w:pPr>
    </w:p>
    <w:p>
      <w:pPr>
        <w:pStyle w:val="Heading2"/>
      </w:pPr>
      <w:r>
        <w:t>Final quality metrics, based on companion CSV</w:t>
      </w:r>
    </w:p>
    <w:tbl>
      <w:tblPr>
        <w:tblW w:type="auto" w:w="0"/>
        <w:tblLayout w:type="fixed"/>
        <w:tblLook w:firstColumn="1" w:firstRow="1" w:lastColumn="0" w:lastRow="0" w:noHBand="0" w:noVBand="1" w:val="04A0"/>
      </w:tblPr>
      <w:tblGrid>
        <w:gridCol w:w="3384"/>
        <w:gridCol w:w="2203"/>
        <w:gridCol w:w="2045"/>
        <w:gridCol w:w="2160"/>
      </w:tblGrid>
      <w:tr>
        <w:trPr>
          <w:tblHeader w:val="true"/>
        </w:trPr>
        <w:tc>
          <w:tcPr>
            <w:tcW w:type="dxa" w:w="2498"/>
            <w:vAlign w:val="center"/>
            <w:shd w:fill="16263F"/>
          </w:tcPr>
          <w:p>
            <w:r>
              <w:rPr>
                <w:b/>
                <w:color w:val="FFFFFF"/>
                <w:sz w:val="16"/>
              </w:rPr>
              <w:t>Metric</w:t>
            </w:r>
          </w:p>
        </w:tc>
        <w:tc>
          <w:tcPr>
            <w:tcW w:type="dxa" w:w="2498"/>
            <w:vAlign w:val="center"/>
            <w:shd w:fill="16263F"/>
          </w:tcPr>
          <w:p>
            <w:r>
              <w:rPr>
                <w:b/>
                <w:color w:val="FFFFFF"/>
                <w:sz w:val="16"/>
              </w:rPr>
              <w:t>Formula</w:t>
            </w:r>
          </w:p>
        </w:tc>
        <w:tc>
          <w:tcPr>
            <w:tcW w:type="dxa" w:w="2498"/>
            <w:vAlign w:val="center"/>
            <w:shd w:fill="16263F"/>
          </w:tcPr>
          <w:p>
            <w:r>
              <w:rPr>
                <w:b/>
                <w:color w:val="FFFFFF"/>
                <w:sz w:val="16"/>
              </w:rPr>
              <w:t>Actual</w:t>
            </w:r>
          </w:p>
        </w:tc>
        <w:tc>
          <w:tcPr>
            <w:tcW w:type="dxa" w:w="2498"/>
            <w:vAlign w:val="center"/>
            <w:shd w:fill="16263F"/>
          </w:tcPr>
          <w:p>
            <w:r>
              <w:rPr>
                <w:b/>
                <w:color w:val="FFFFFF"/>
                <w:sz w:val="16"/>
              </w:rPr>
              <w:t>Target</w:t>
            </w:r>
          </w:p>
        </w:tc>
      </w:tr>
      <w:tr>
        <w:trPr>
          <w:cantSplit/>
        </w:trPr>
        <w:tc>
          <w:tcPr>
            <w:tcW w:type="dxa" w:w="3384"/>
          </w:tcPr>
          <w:p>
            <w:pPr>
              <w:spacing w:after="0"/>
            </w:pPr>
            <w:r>
              <w:rPr>
                <w:sz w:val="15"/>
              </w:rPr>
              <w:t>Owner completeness</w:t>
            </w:r>
          </w:p>
        </w:tc>
        <w:tc>
          <w:tcPr>
            <w:tcW w:type="dxa" w:w="2203"/>
          </w:tcPr>
          <w:p>
            <w:pPr>
              <w:spacing w:after="0"/>
            </w:pPr>
            <w:r>
              <w:rPr>
                <w:sz w:val="15"/>
              </w:rPr>
              <w:t>452 / 462</w:t>
            </w:r>
          </w:p>
        </w:tc>
        <w:tc>
          <w:tcPr>
            <w:tcW w:type="dxa" w:w="2045"/>
          </w:tcPr>
          <w:p>
            <w:pPr>
              <w:spacing w:after="0"/>
            </w:pPr>
            <w:r>
              <w:rPr>
                <w:sz w:val="15"/>
              </w:rPr>
              <w:t>97.84%</w:t>
            </w:r>
          </w:p>
        </w:tc>
        <w:tc>
          <w:tcPr>
            <w:tcW w:type="dxa" w:w="2160"/>
          </w:tcPr>
          <w:p>
            <w:pPr>
              <w:spacing w:after="0"/>
            </w:pPr>
            <w:r>
              <w:rPr>
                <w:sz w:val="15"/>
              </w:rPr>
              <w:t>99.00%</w:t>
            </w:r>
          </w:p>
        </w:tc>
      </w:tr>
      <w:tr>
        <w:trPr>
          <w:cantSplit/>
        </w:trPr>
        <w:tc>
          <w:tcPr>
            <w:tcW w:type="dxa" w:w="3384"/>
            <w:shd w:fill="F3F6FA"/>
          </w:tcPr>
          <w:p>
            <w:pPr>
              <w:spacing w:after="0"/>
            </w:pPr>
            <w:r>
              <w:rPr>
                <w:sz w:val="15"/>
              </w:rPr>
              <w:t>Valid state</w:t>
            </w:r>
          </w:p>
        </w:tc>
        <w:tc>
          <w:tcPr>
            <w:tcW w:type="dxa" w:w="2203"/>
            <w:shd w:fill="F3F6FA"/>
          </w:tcPr>
          <w:p>
            <w:pPr>
              <w:spacing w:after="0"/>
            </w:pPr>
            <w:r>
              <w:rPr>
                <w:sz w:val="15"/>
              </w:rPr>
              <w:t>459 / 462</w:t>
            </w:r>
          </w:p>
        </w:tc>
        <w:tc>
          <w:tcPr>
            <w:tcW w:type="dxa" w:w="2045"/>
            <w:shd w:fill="F3F6FA"/>
          </w:tcPr>
          <w:p>
            <w:pPr>
              <w:spacing w:after="0"/>
            </w:pPr>
            <w:r>
              <w:rPr>
                <w:sz w:val="15"/>
              </w:rPr>
              <w:t>99.35%</w:t>
            </w:r>
          </w:p>
        </w:tc>
        <w:tc>
          <w:tcPr>
            <w:tcW w:type="dxa" w:w="2160"/>
            <w:shd w:fill="F3F6FA"/>
          </w:tcPr>
          <w:p>
            <w:pPr>
              <w:spacing w:after="0"/>
            </w:pPr>
            <w:r>
              <w:rPr>
                <w:sz w:val="15"/>
              </w:rPr>
              <w:t>99.50%</w:t>
            </w:r>
          </w:p>
        </w:tc>
      </w:tr>
      <w:tr>
        <w:trPr>
          <w:cantSplit/>
        </w:trPr>
        <w:tc>
          <w:tcPr>
            <w:tcW w:type="dxa" w:w="3384"/>
          </w:tcPr>
          <w:p>
            <w:pPr>
              <w:spacing w:after="0"/>
            </w:pPr>
            <w:r>
              <w:rPr>
                <w:sz w:val="15"/>
              </w:rPr>
              <w:t>Candidate decision completeness</w:t>
            </w:r>
          </w:p>
        </w:tc>
        <w:tc>
          <w:tcPr>
            <w:tcW w:type="dxa" w:w="2203"/>
          </w:tcPr>
          <w:p>
            <w:pPr>
              <w:spacing w:after="0"/>
            </w:pPr>
            <w:r>
              <w:rPr>
                <w:sz w:val="15"/>
              </w:rPr>
              <w:t>27 / 27</w:t>
            </w:r>
          </w:p>
        </w:tc>
        <w:tc>
          <w:tcPr>
            <w:tcW w:type="dxa" w:w="2045"/>
          </w:tcPr>
          <w:p>
            <w:pPr>
              <w:spacing w:after="0"/>
            </w:pPr>
            <w:r>
              <w:rPr>
                <w:sz w:val="15"/>
              </w:rPr>
              <w:t>100%</w:t>
            </w:r>
          </w:p>
        </w:tc>
        <w:tc>
          <w:tcPr>
            <w:tcW w:type="dxa" w:w="2160"/>
          </w:tcPr>
          <w:p>
            <w:pPr>
              <w:spacing w:after="0"/>
            </w:pPr>
            <w:r>
              <w:rPr>
                <w:sz w:val="15"/>
              </w:rPr>
              <w:t>100%</w:t>
            </w:r>
          </w:p>
        </w:tc>
      </w:tr>
      <w:tr>
        <w:trPr>
          <w:cantSplit/>
        </w:trPr>
        <w:tc>
          <w:tcPr>
            <w:tcW w:type="dxa" w:w="3384"/>
            <w:shd w:fill="F3F6FA"/>
          </w:tcPr>
          <w:p>
            <w:pPr>
              <w:spacing w:after="0"/>
            </w:pPr>
            <w:r>
              <w:rPr>
                <w:sz w:val="15"/>
              </w:rPr>
              <w:t>Source lineage coverage</w:t>
            </w:r>
          </w:p>
        </w:tc>
        <w:tc>
          <w:tcPr>
            <w:tcW w:type="dxa" w:w="2203"/>
            <w:shd w:fill="F3F6FA"/>
          </w:tcPr>
          <w:p>
            <w:pPr>
              <w:spacing w:after="0"/>
            </w:pPr>
            <w:r>
              <w:rPr>
                <w:sz w:val="15"/>
              </w:rPr>
              <w:t>480 / 480</w:t>
            </w:r>
          </w:p>
        </w:tc>
        <w:tc>
          <w:tcPr>
            <w:tcW w:type="dxa" w:w="2045"/>
            <w:shd w:fill="F3F6FA"/>
          </w:tcPr>
          <w:p>
            <w:pPr>
              <w:spacing w:after="0"/>
            </w:pPr>
            <w:r>
              <w:rPr>
                <w:sz w:val="15"/>
              </w:rPr>
              <w:t>100%</w:t>
            </w:r>
          </w:p>
        </w:tc>
        <w:tc>
          <w:tcPr>
            <w:tcW w:type="dxa" w:w="2160"/>
            <w:shd w:fill="F3F6FA"/>
          </w:tcPr>
          <w:p>
            <w:pPr>
              <w:spacing w:after="0"/>
            </w:pPr>
            <w:r>
              <w:rPr>
                <w:sz w:val="15"/>
              </w:rPr>
              <w:t>100%</w:t>
            </w:r>
          </w:p>
        </w:tc>
      </w:tr>
    </w:tbl>
    <w:p>
      <w:pPr>
        <w:spacing w:after="0"/>
      </w:pPr>
    </w:p>
    <w:p>
      <w:r>
        <w:br w:type="page"/>
      </w:r>
    </w:p>
    <w:p>
      <w:pPr>
        <w:spacing w:after="80"/>
      </w:pPr>
      <w:r>
        <w:rPr>
          <w:b/>
          <w:color w:val="087D8C"/>
          <w:sz w:val="16"/>
        </w:rPr>
        <w:t>08 / GOVERNANCE AUDIT</w:t>
      </w:r>
    </w:p>
    <w:p>
      <w:pPr>
        <w:pStyle w:val="Heading1"/>
      </w:pPr>
      <w:r>
        <w:t>Lineage and exception traceability</w:t>
      </w:r>
    </w:p>
    <w:tbl>
      <w:tblPr>
        <w:tblW w:type="auto" w:w="0"/>
        <w:tblLayout w:type="fixed"/>
        <w:tblLook w:firstColumn="1" w:firstRow="1" w:lastColumn="0" w:lastRow="0" w:noHBand="0" w:noVBand="1" w:val="04A0"/>
      </w:tblPr>
      <w:tblGrid>
        <w:gridCol w:w="4968"/>
        <w:gridCol w:w="4824"/>
      </w:tblGrid>
      <w:tr>
        <w:trPr>
          <w:tblHeader w:val="true"/>
        </w:trPr>
        <w:tc>
          <w:tcPr>
            <w:tcW w:type="dxa" w:w="4997"/>
            <w:vAlign w:val="center"/>
            <w:shd w:fill="16263F"/>
          </w:tcPr>
          <w:p>
            <w:r>
              <w:rPr>
                <w:b/>
                <w:color w:val="FFFFFF"/>
                <w:sz w:val="16"/>
              </w:rPr>
              <w:t>Companion file</w:t>
            </w:r>
          </w:p>
        </w:tc>
        <w:tc>
          <w:tcPr>
            <w:tcW w:type="dxa" w:w="4997"/>
            <w:vAlign w:val="center"/>
            <w:shd w:fill="16263F"/>
          </w:tcPr>
          <w:p>
            <w:r>
              <w:rPr>
                <w:b/>
                <w:color w:val="FFFFFF"/>
                <w:sz w:val="16"/>
              </w:rPr>
              <w:t>Operational demonstration</w:t>
            </w:r>
          </w:p>
        </w:tc>
      </w:tr>
      <w:tr>
        <w:trPr>
          <w:cantSplit/>
        </w:trPr>
        <w:tc>
          <w:tcPr>
            <w:tcW w:type="dxa" w:w="4968"/>
          </w:tcPr>
          <w:p>
            <w:pPr>
              <w:spacing w:after="0"/>
            </w:pPr>
            <w:r>
              <w:rPr>
                <w:sz w:val="15"/>
              </w:rPr>
              <w:t>SOURCE_customer_snapshot_480.csv</w:t>
            </w:r>
          </w:p>
        </w:tc>
        <w:tc>
          <w:tcPr>
            <w:tcW w:type="dxa" w:w="4824"/>
          </w:tcPr>
          <w:p>
            <w:pPr>
              <w:spacing w:after="0"/>
            </w:pPr>
            <w:r>
              <w:rPr>
                <w:sz w:val="15"/>
              </w:rPr>
              <w:t>Original 480 rows with source IDs and immutable external keys</w:t>
            </w:r>
          </w:p>
        </w:tc>
      </w:tr>
      <w:tr>
        <w:trPr>
          <w:cantSplit/>
        </w:trPr>
        <w:tc>
          <w:tcPr>
            <w:tcW w:type="dxa" w:w="4968"/>
            <w:shd w:fill="F3F6FA"/>
          </w:tcPr>
          <w:p>
            <w:pPr>
              <w:spacing w:after="0"/>
            </w:pPr>
            <w:r>
              <w:rPr>
                <w:sz w:val="15"/>
              </w:rPr>
              <w:t>FINAL_canonical_master_462.csv</w:t>
            </w:r>
          </w:p>
        </w:tc>
        <w:tc>
          <w:tcPr>
            <w:tcW w:type="dxa" w:w="4824"/>
            <w:shd w:fill="F3F6FA"/>
          </w:tcPr>
          <w:p>
            <w:pPr>
              <w:spacing w:after="0"/>
            </w:pPr>
            <w:r>
              <w:rPr>
                <w:sz w:val="15"/>
              </w:rPr>
              <w:t>462 unique IDs; contributing-source lineage retained</w:t>
            </w:r>
          </w:p>
        </w:tc>
      </w:tr>
      <w:tr>
        <w:trPr>
          <w:cantSplit/>
        </w:trPr>
        <w:tc>
          <w:tcPr>
            <w:tcW w:type="dxa" w:w="4968"/>
          </w:tcPr>
          <w:p>
            <w:pPr>
              <w:spacing w:after="0"/>
            </w:pPr>
            <w:r>
              <w:rPr>
                <w:sz w:val="15"/>
              </w:rPr>
              <w:t>DECISIONS_all_27_candidate_pairs.csv</w:t>
            </w:r>
          </w:p>
        </w:tc>
        <w:tc>
          <w:tcPr>
            <w:tcW w:type="dxa" w:w="4824"/>
          </w:tcPr>
          <w:p>
            <w:pPr>
              <w:spacing w:after="0"/>
            </w:pPr>
            <w:r>
              <w:rPr>
                <w:sz w:val="15"/>
              </w:rPr>
              <w:t>18 merge decisions plus 9 false-positive keep decisions</w:t>
            </w:r>
          </w:p>
        </w:tc>
      </w:tr>
      <w:tr>
        <w:trPr>
          <w:cantSplit/>
        </w:trPr>
        <w:tc>
          <w:tcPr>
            <w:tcW w:type="dxa" w:w="4968"/>
            <w:shd w:fill="F3F6FA"/>
          </w:tcPr>
          <w:p>
            <w:pPr>
              <w:spacing w:after="0"/>
            </w:pPr>
            <w:r>
              <w:rPr>
                <w:sz w:val="15"/>
              </w:rPr>
              <w:t>EXCEPTIONS_owned_queue_14.csv</w:t>
            </w:r>
          </w:p>
        </w:tc>
        <w:tc>
          <w:tcPr>
            <w:tcW w:type="dxa" w:w="4824"/>
            <w:shd w:fill="F3F6FA"/>
          </w:tcPr>
          <w:p>
            <w:pPr>
              <w:spacing w:after="0"/>
            </w:pPr>
            <w:r>
              <w:rPr>
                <w:sz w:val="15"/>
              </w:rPr>
              <w:t>10 owner issues, 3 state defects, 1 alias review</w:t>
            </w:r>
          </w:p>
        </w:tc>
      </w:tr>
    </w:tbl>
    <w:p>
      <w:pPr>
        <w:spacing w:after="0"/>
      </w:pPr>
    </w:p>
    <w:p>
      <w:pPr>
        <w:pStyle w:val="Heading2"/>
      </w:pPr>
      <w:r>
        <w:t>Independent quality-review sequence</w:t>
      </w:r>
    </w:p>
    <w:p>
      <w:pPr>
        <w:pStyle w:val="ListBullet"/>
        <w:spacing w:after="60"/>
      </w:pPr>
      <w:r>
        <w:t>Count input source IDs and confirm 480 unique keys.</w:t>
      </w:r>
    </w:p>
    <w:p>
      <w:pPr>
        <w:pStyle w:val="ListBullet"/>
        <w:spacing w:after="60"/>
      </w:pPr>
      <w:r>
        <w:t>Count canonical masters and confirm 462 unique keys; all 480 original IDs appear in contributing-source lineage.</w:t>
      </w:r>
    </w:p>
    <w:p>
      <w:pPr>
        <w:pStyle w:val="ListBullet"/>
        <w:spacing w:after="60"/>
      </w:pPr>
      <w:r>
        <w:t>Review every decision in the 27-pair ledger and verify that false positives remain distinct.</w:t>
      </w:r>
    </w:p>
    <w:p>
      <w:pPr>
        <w:pStyle w:val="ListBullet"/>
        <w:spacing w:after="60"/>
      </w:pPr>
      <w:r>
        <w:t>Measure owner completeness and state validity with denominators of 462; explicitly fail the stated 99%/99.5% thresholds.</w:t>
      </w:r>
    </w:p>
    <w:p>
      <w:pPr>
        <w:pStyle w:val="ListBullet"/>
        <w:spacing w:after="60"/>
      </w:pPr>
      <w:r>
        <w:t>Keep conditional internal reporting separate from unrestricted operational use until 13 blocking defects are fixed.</w:t>
      </w:r>
    </w:p>
    <w:p>
      <w:r>
        <w:rPr>
          <w:b w:val="0"/>
        </w:rPr>
        <w:t>Important: the original case study displayed representative adjudications only; this evidence edition includes the complete candidate decision ledger. All counts are synthetic, measured only for this constructed exercise.</w:t>
      </w:r>
    </w:p>
    <w:p>
      <w:r>
        <w:br w:type="page"/>
      </w:r>
    </w:p>
    <w:p>
      <w:r>
        <w:rPr>
          <w:b/>
          <w:color w:val="0C7B89"/>
          <w:sz w:val="16"/>
        </w:rPr>
        <w:t>DEEP-DIVE CASE FILE  /  STEW-01</w:t>
      </w:r>
    </w:p>
    <w:p>
      <w:pPr>
        <w:pStyle w:val="Heading1"/>
      </w:pPr>
      <w:r>
        <w:t>Governance operating model and rule catalog</w:t>
      </w:r>
    </w:p>
    <w:p>
      <w:pPr>
        <w:spacing w:after="120"/>
      </w:pPr>
      <w:r>
        <w:t>The original 480-row source / 462-row canonical analysis remains the primary completed scenario. The additional control catalog converts narrative quality expectations into testable rules with owners, thresholds, escalation and review evidence. Targets are internal training policies, not claimed company service levels.</w:t>
      </w:r>
    </w:p>
    <w:tbl>
      <w:tblPr>
        <w:tblStyle w:val="TableGrid"/>
        <w:tblW w:type="auto" w:w="0"/>
        <w:tblLayout w:type="fixed"/>
        <w:tblLook w:firstColumn="1" w:firstRow="1" w:lastColumn="0" w:lastRow="0" w:noHBand="0" w:noVBand="1" w:val="04A0"/>
      </w:tblPr>
      <w:tblGrid>
        <w:gridCol w:w="2498"/>
        <w:gridCol w:w="2498"/>
        <w:gridCol w:w="2498"/>
        <w:gridCol w:w="2498"/>
      </w:tblGrid>
      <w:tr>
        <w:trPr>
          <w:tblHeader/>
        </w:trPr>
        <w:tc>
          <w:tcPr>
            <w:tcW w:type="dxa" w:w="1152"/>
            <w:shd w:fill="172946"/>
          </w:tcPr>
          <w:p>
            <w:r>
              <w:rPr>
                <w:b/>
                <w:color w:val="FFFFFF"/>
                <w:sz w:val="16"/>
              </w:rPr>
              <w:t>ID</w:t>
            </w:r>
          </w:p>
        </w:tc>
        <w:tc>
          <w:tcPr>
            <w:tcW w:type="dxa" w:w="3528"/>
            <w:shd w:fill="172946"/>
          </w:tcPr>
          <w:p>
            <w:r>
              <w:rPr>
                <w:b/>
                <w:color w:val="FFFFFF"/>
                <w:sz w:val="16"/>
              </w:rPr>
              <w:t>Dimension / field</w:t>
            </w:r>
          </w:p>
        </w:tc>
        <w:tc>
          <w:tcPr>
            <w:tcW w:type="dxa" w:w="1440"/>
            <w:shd w:fill="172946"/>
          </w:tcPr>
          <w:p>
            <w:r>
              <w:rPr>
                <w:b/>
                <w:color w:val="FFFFFF"/>
                <w:sz w:val="16"/>
              </w:rPr>
              <w:t>Target</w:t>
            </w:r>
          </w:p>
        </w:tc>
        <w:tc>
          <w:tcPr>
            <w:tcW w:type="dxa" w:w="3672"/>
            <w:shd w:fill="172946"/>
          </w:tcPr>
          <w:p>
            <w:r>
              <w:rPr>
                <w:b/>
                <w:color w:val="FFFFFF"/>
                <w:sz w:val="16"/>
              </w:rPr>
              <w:t>Breach routing</w:t>
            </w:r>
          </w:p>
        </w:tc>
      </w:tr>
      <w:tr>
        <w:trPr>
          <w:cantSplit/>
        </w:trPr>
        <w:tc>
          <w:tcPr>
            <w:tcW w:type="dxa" w:w="2498"/>
          </w:tcPr>
          <w:p>
            <w:pPr>
              <w:spacing w:after="0"/>
            </w:pPr>
            <w:r>
              <w:rPr>
                <w:sz w:val="16"/>
              </w:rPr>
              <w:t>DQ-01</w:t>
            </w:r>
          </w:p>
        </w:tc>
        <w:tc>
          <w:tcPr>
            <w:tcW w:type="dxa" w:w="2498"/>
          </w:tcPr>
          <w:p>
            <w:pPr>
              <w:spacing w:after="0"/>
            </w:pPr>
            <w:r>
              <w:rPr>
                <w:sz w:val="16"/>
              </w:rPr>
              <w:t>source_id / Uniqueness</w:t>
            </w:r>
          </w:p>
        </w:tc>
        <w:tc>
          <w:tcPr>
            <w:tcW w:type="dxa" w:w="2498"/>
          </w:tcPr>
          <w:p>
            <w:pPr>
              <w:spacing w:after="0"/>
            </w:pPr>
            <w:r>
              <w:rPr>
                <w:sz w:val="16"/>
              </w:rPr>
              <w:t>100%</w:t>
            </w:r>
          </w:p>
        </w:tc>
        <w:tc>
          <w:tcPr>
            <w:tcW w:type="dxa" w:w="2498"/>
          </w:tcPr>
          <w:p>
            <w:pPr>
              <w:spacing w:after="0"/>
            </w:pPr>
            <w:r>
              <w:rPr>
                <w:sz w:val="16"/>
              </w:rPr>
              <w:t>block if duplicate</w:t>
            </w:r>
          </w:p>
        </w:tc>
      </w:tr>
      <w:tr>
        <w:trPr>
          <w:cantSplit/>
        </w:trPr>
        <w:tc>
          <w:tcPr>
            <w:tcW w:type="dxa" w:w="2498"/>
            <w:shd w:fill="EEF5F8"/>
          </w:tcPr>
          <w:p>
            <w:pPr>
              <w:spacing w:after="0"/>
            </w:pPr>
            <w:r>
              <w:rPr>
                <w:sz w:val="16"/>
              </w:rPr>
              <w:t>DQ-02</w:t>
            </w:r>
          </w:p>
        </w:tc>
        <w:tc>
          <w:tcPr>
            <w:tcW w:type="dxa" w:w="2498"/>
            <w:shd w:fill="EEF5F8"/>
          </w:tcPr>
          <w:p>
            <w:pPr>
              <w:spacing w:after="0"/>
            </w:pPr>
            <w:r>
              <w:rPr>
                <w:sz w:val="16"/>
              </w:rPr>
              <w:t>legal_name / Completeness</w:t>
            </w:r>
          </w:p>
        </w:tc>
        <w:tc>
          <w:tcPr>
            <w:tcW w:type="dxa" w:w="2498"/>
            <w:shd w:fill="EEF5F8"/>
          </w:tcPr>
          <w:p>
            <w:pPr>
              <w:spacing w:after="0"/>
            </w:pPr>
            <w:r>
              <w:rPr>
                <w:sz w:val="16"/>
              </w:rPr>
              <w:t>&gt;=99%</w:t>
            </w:r>
          </w:p>
        </w:tc>
        <w:tc>
          <w:tcPr>
            <w:tcW w:type="dxa" w:w="2498"/>
            <w:shd w:fill="EEF5F8"/>
          </w:tcPr>
          <w:p>
            <w:pPr>
              <w:spacing w:after="0"/>
            </w:pPr>
            <w:r>
              <w:rPr>
                <w:sz w:val="16"/>
              </w:rPr>
              <w:t>queue if missing</w:t>
            </w:r>
          </w:p>
        </w:tc>
      </w:tr>
      <w:tr>
        <w:trPr>
          <w:cantSplit/>
        </w:trPr>
        <w:tc>
          <w:tcPr>
            <w:tcW w:type="dxa" w:w="2498"/>
          </w:tcPr>
          <w:p>
            <w:pPr>
              <w:spacing w:after="0"/>
            </w:pPr>
            <w:r>
              <w:rPr>
                <w:sz w:val="16"/>
              </w:rPr>
              <w:t>DQ-03</w:t>
            </w:r>
          </w:p>
        </w:tc>
        <w:tc>
          <w:tcPr>
            <w:tcW w:type="dxa" w:w="2498"/>
          </w:tcPr>
          <w:p>
            <w:pPr>
              <w:spacing w:after="0"/>
            </w:pPr>
            <w:r>
              <w:rPr>
                <w:sz w:val="16"/>
              </w:rPr>
              <w:t>contact_email / Syntax &amp; completeness</w:t>
            </w:r>
          </w:p>
        </w:tc>
        <w:tc>
          <w:tcPr>
            <w:tcW w:type="dxa" w:w="2498"/>
          </w:tcPr>
          <w:p>
            <w:pPr>
              <w:spacing w:after="0"/>
            </w:pPr>
            <w:r>
              <w:rPr>
                <w:sz w:val="16"/>
              </w:rPr>
              <w:t>&gt;=98%</w:t>
            </w:r>
          </w:p>
        </w:tc>
        <w:tc>
          <w:tcPr>
            <w:tcW w:type="dxa" w:w="2498"/>
          </w:tcPr>
          <w:p>
            <w:pPr>
              <w:spacing w:after="0"/>
            </w:pPr>
            <w:r>
              <w:rPr>
                <w:sz w:val="16"/>
              </w:rPr>
              <w:t>hold invalid email</w:t>
            </w:r>
          </w:p>
        </w:tc>
      </w:tr>
      <w:tr>
        <w:trPr>
          <w:cantSplit/>
        </w:trPr>
        <w:tc>
          <w:tcPr>
            <w:tcW w:type="dxa" w:w="2498"/>
            <w:shd w:fill="EEF5F8"/>
          </w:tcPr>
          <w:p>
            <w:pPr>
              <w:spacing w:after="0"/>
            </w:pPr>
            <w:r>
              <w:rPr>
                <w:sz w:val="16"/>
              </w:rPr>
              <w:t>DQ-04</w:t>
            </w:r>
          </w:p>
        </w:tc>
        <w:tc>
          <w:tcPr>
            <w:tcW w:type="dxa" w:w="2498"/>
            <w:shd w:fill="EEF5F8"/>
          </w:tcPr>
          <w:p>
            <w:pPr>
              <w:spacing w:after="0"/>
            </w:pPr>
            <w:r>
              <w:rPr>
                <w:sz w:val="16"/>
              </w:rPr>
              <w:t>state / Reference validity</w:t>
            </w:r>
          </w:p>
        </w:tc>
        <w:tc>
          <w:tcPr>
            <w:tcW w:type="dxa" w:w="2498"/>
            <w:shd w:fill="EEF5F8"/>
          </w:tcPr>
          <w:p>
            <w:pPr>
              <w:spacing w:after="0"/>
            </w:pPr>
            <w:r>
              <w:rPr>
                <w:sz w:val="16"/>
              </w:rPr>
              <w:t>&gt;=99%</w:t>
            </w:r>
          </w:p>
        </w:tc>
        <w:tc>
          <w:tcPr>
            <w:tcW w:type="dxa" w:w="2498"/>
            <w:shd w:fill="EEF5F8"/>
          </w:tcPr>
          <w:p>
            <w:pPr>
              <w:spacing w:after="0"/>
            </w:pPr>
            <w:r>
              <w:rPr>
                <w:sz w:val="16"/>
              </w:rPr>
              <w:t>hold unknown code</w:t>
            </w:r>
          </w:p>
        </w:tc>
      </w:tr>
      <w:tr>
        <w:trPr>
          <w:cantSplit/>
        </w:trPr>
        <w:tc>
          <w:tcPr>
            <w:tcW w:type="dxa" w:w="2498"/>
          </w:tcPr>
          <w:p>
            <w:pPr>
              <w:spacing w:after="0"/>
            </w:pPr>
            <w:r>
              <w:rPr>
                <w:sz w:val="16"/>
              </w:rPr>
              <w:t>DQ-05</w:t>
            </w:r>
          </w:p>
        </w:tc>
        <w:tc>
          <w:tcPr>
            <w:tcW w:type="dxa" w:w="2498"/>
          </w:tcPr>
          <w:p>
            <w:pPr>
              <w:spacing w:after="0"/>
            </w:pPr>
            <w:r>
              <w:rPr>
                <w:sz w:val="16"/>
              </w:rPr>
              <w:t>account_owner / Ownership completeness</w:t>
            </w:r>
          </w:p>
        </w:tc>
        <w:tc>
          <w:tcPr>
            <w:tcW w:type="dxa" w:w="2498"/>
          </w:tcPr>
          <w:p>
            <w:pPr>
              <w:spacing w:after="0"/>
            </w:pPr>
            <w:r>
              <w:rPr>
                <w:sz w:val="16"/>
              </w:rPr>
              <w:t>&gt;=95%</w:t>
            </w:r>
          </w:p>
        </w:tc>
        <w:tc>
          <w:tcPr>
            <w:tcW w:type="dxa" w:w="2498"/>
          </w:tcPr>
          <w:p>
            <w:pPr>
              <w:spacing w:after="0"/>
            </w:pPr>
            <w:r>
              <w:rPr>
                <w:sz w:val="16"/>
              </w:rPr>
              <w:t>assign pending owners</w:t>
            </w:r>
          </w:p>
        </w:tc>
      </w:tr>
      <w:tr>
        <w:trPr>
          <w:cantSplit/>
        </w:trPr>
        <w:tc>
          <w:tcPr>
            <w:tcW w:type="dxa" w:w="2498"/>
            <w:shd w:fill="EEF5F8"/>
          </w:tcPr>
          <w:p>
            <w:pPr>
              <w:spacing w:after="0"/>
            </w:pPr>
            <w:r>
              <w:rPr>
                <w:sz w:val="16"/>
              </w:rPr>
              <w:t>DQ-06</w:t>
            </w:r>
          </w:p>
        </w:tc>
        <w:tc>
          <w:tcPr>
            <w:tcW w:type="dxa" w:w="2498"/>
            <w:shd w:fill="EEF5F8"/>
          </w:tcPr>
          <w:p>
            <w:pPr>
              <w:spacing w:after="0"/>
            </w:pPr>
            <w:r>
              <w:rPr>
                <w:sz w:val="16"/>
              </w:rPr>
              <w:t>external_key / Reference uniqueness</w:t>
            </w:r>
          </w:p>
        </w:tc>
        <w:tc>
          <w:tcPr>
            <w:tcW w:type="dxa" w:w="2498"/>
            <w:shd w:fill="EEF5F8"/>
          </w:tcPr>
          <w:p>
            <w:pPr>
              <w:spacing w:after="0"/>
            </w:pPr>
            <w:r>
              <w:rPr>
                <w:sz w:val="16"/>
              </w:rPr>
              <w:t>100% canonical</w:t>
            </w:r>
          </w:p>
        </w:tc>
        <w:tc>
          <w:tcPr>
            <w:tcW w:type="dxa" w:w="2498"/>
            <w:shd w:fill="EEF5F8"/>
          </w:tcPr>
          <w:p>
            <w:pPr>
              <w:spacing w:after="0"/>
            </w:pPr>
            <w:r>
              <w:rPr>
                <w:sz w:val="16"/>
              </w:rPr>
              <w:t>investigate collision</w:t>
            </w:r>
          </w:p>
        </w:tc>
      </w:tr>
      <w:tr>
        <w:trPr>
          <w:cantSplit/>
        </w:trPr>
        <w:tc>
          <w:tcPr>
            <w:tcW w:type="dxa" w:w="2498"/>
          </w:tcPr>
          <w:p>
            <w:pPr>
              <w:spacing w:after="0"/>
            </w:pPr>
            <w:r>
              <w:rPr>
                <w:sz w:val="16"/>
              </w:rPr>
              <w:t>DQ-07</w:t>
            </w:r>
          </w:p>
        </w:tc>
        <w:tc>
          <w:tcPr>
            <w:tcW w:type="dxa" w:w="2498"/>
          </w:tcPr>
          <w:p>
            <w:pPr>
              <w:spacing w:after="0"/>
            </w:pPr>
            <w:r>
              <w:rPr>
                <w:sz w:val="16"/>
              </w:rPr>
              <w:t>parent_source_id / Lineage validity</w:t>
            </w:r>
          </w:p>
        </w:tc>
        <w:tc>
          <w:tcPr>
            <w:tcW w:type="dxa" w:w="2498"/>
          </w:tcPr>
          <w:p>
            <w:pPr>
              <w:spacing w:after="0"/>
            </w:pPr>
            <w:r>
              <w:rPr>
                <w:sz w:val="16"/>
              </w:rPr>
              <w:t>100% linked refs</w:t>
            </w:r>
          </w:p>
        </w:tc>
        <w:tc>
          <w:tcPr>
            <w:tcW w:type="dxa" w:w="2498"/>
          </w:tcPr>
          <w:p>
            <w:pPr>
              <w:spacing w:after="0"/>
            </w:pPr>
            <w:r>
              <w:rPr>
                <w:sz w:val="16"/>
              </w:rPr>
              <w:t>block orphan links</w:t>
            </w:r>
          </w:p>
        </w:tc>
      </w:tr>
      <w:tr>
        <w:trPr>
          <w:cantSplit/>
        </w:trPr>
        <w:tc>
          <w:tcPr>
            <w:tcW w:type="dxa" w:w="2498"/>
            <w:shd w:fill="EEF5F8"/>
          </w:tcPr>
          <w:p>
            <w:pPr>
              <w:spacing w:after="0"/>
            </w:pPr>
            <w:r>
              <w:rPr>
                <w:sz w:val="16"/>
              </w:rPr>
              <w:t>DQ-08</w:t>
            </w:r>
          </w:p>
        </w:tc>
        <w:tc>
          <w:tcPr>
            <w:tcW w:type="dxa" w:w="2498"/>
            <w:shd w:fill="EEF5F8"/>
          </w:tcPr>
          <w:p>
            <w:pPr>
              <w:spacing w:after="0"/>
            </w:pPr>
            <w:r>
              <w:rPr>
                <w:sz w:val="16"/>
              </w:rPr>
              <w:t>source_status / Approved vocabulary</w:t>
            </w:r>
          </w:p>
        </w:tc>
        <w:tc>
          <w:tcPr>
            <w:tcW w:type="dxa" w:w="2498"/>
            <w:shd w:fill="EEF5F8"/>
          </w:tcPr>
          <w:p>
            <w:pPr>
              <w:spacing w:after="0"/>
            </w:pPr>
            <w:r>
              <w:rPr>
                <w:sz w:val="16"/>
              </w:rPr>
              <w:t>100%</w:t>
            </w:r>
          </w:p>
        </w:tc>
        <w:tc>
          <w:tcPr>
            <w:tcW w:type="dxa" w:w="2498"/>
            <w:shd w:fill="EEF5F8"/>
          </w:tcPr>
          <w:p>
            <w:pPr>
              <w:spacing w:after="0"/>
            </w:pPr>
            <w:r>
              <w:rPr>
                <w:sz w:val="16"/>
              </w:rPr>
              <w:t>correct controlled status</w:t>
            </w:r>
          </w:p>
        </w:tc>
      </w:tr>
    </w:tbl>
    <w:p>
      <w:pPr>
        <w:spacing w:after="0"/>
      </w:pPr>
    </w:p>
    <w:p>
      <w:pPr>
        <w:pStyle w:val="Heading2"/>
      </w:pPr>
      <w:r>
        <w:t>RACI / release ownership</w:t>
      </w:r>
    </w:p>
    <w:tbl>
      <w:tblPr>
        <w:tblStyle w:val="TableGrid"/>
        <w:tblW w:type="auto" w:w="0"/>
        <w:tblLayout w:type="fixed"/>
        <w:tblLook w:firstColumn="1" w:firstRow="1" w:lastColumn="0" w:lastRow="0" w:noHBand="0" w:noVBand="1" w:val="04A0"/>
      </w:tblPr>
      <w:tblGrid>
        <w:gridCol w:w="1999"/>
        <w:gridCol w:w="1999"/>
        <w:gridCol w:w="1999"/>
        <w:gridCol w:w="1999"/>
        <w:gridCol w:w="1999"/>
      </w:tblGrid>
      <w:tr>
        <w:trPr>
          <w:tblHeader/>
        </w:trPr>
        <w:tc>
          <w:tcPr>
            <w:tcW w:type="dxa" w:w="2952"/>
            <w:shd w:fill="172946"/>
          </w:tcPr>
          <w:p>
            <w:r>
              <w:rPr>
                <w:b/>
                <w:color w:val="FFFFFF"/>
                <w:sz w:val="16"/>
              </w:rPr>
              <w:t>Task</w:t>
            </w:r>
          </w:p>
        </w:tc>
        <w:tc>
          <w:tcPr>
            <w:tcW w:type="dxa" w:w="1613"/>
            <w:shd w:fill="172946"/>
          </w:tcPr>
          <w:p>
            <w:r>
              <w:rPr>
                <w:b/>
                <w:color w:val="FFFFFF"/>
                <w:sz w:val="16"/>
              </w:rPr>
              <w:t>Data processor</w:t>
            </w:r>
          </w:p>
        </w:tc>
        <w:tc>
          <w:tcPr>
            <w:tcW w:type="dxa" w:w="1598"/>
            <w:shd w:fill="172946"/>
          </w:tcPr>
          <w:p>
            <w:r>
              <w:rPr>
                <w:b/>
                <w:color w:val="FFFFFF"/>
                <w:sz w:val="16"/>
              </w:rPr>
              <w:t>Data steward</w:t>
            </w:r>
          </w:p>
        </w:tc>
        <w:tc>
          <w:tcPr>
            <w:tcW w:type="dxa" w:w="1670"/>
            <w:shd w:fill="172946"/>
          </w:tcPr>
          <w:p>
            <w:r>
              <w:rPr>
                <w:b/>
                <w:color w:val="FFFFFF"/>
                <w:sz w:val="16"/>
              </w:rPr>
              <w:t>Control owner</w:t>
            </w:r>
          </w:p>
        </w:tc>
        <w:tc>
          <w:tcPr>
            <w:tcW w:type="dxa" w:w="1958"/>
            <w:shd w:fill="172946"/>
          </w:tcPr>
          <w:p>
            <w:r>
              <w:rPr>
                <w:b/>
                <w:color w:val="FFFFFF"/>
                <w:sz w:val="16"/>
              </w:rPr>
              <w:t>System owner</w:t>
            </w:r>
          </w:p>
        </w:tc>
      </w:tr>
      <w:tr>
        <w:trPr>
          <w:cantSplit/>
        </w:trPr>
        <w:tc>
          <w:tcPr>
            <w:tcW w:type="dxa" w:w="1999"/>
          </w:tcPr>
          <w:p>
            <w:pPr>
              <w:spacing w:after="0"/>
            </w:pPr>
            <w:r>
              <w:rPr>
                <w:sz w:val="16"/>
              </w:rPr>
              <w:t>Raw ingestion</w:t>
            </w:r>
          </w:p>
        </w:tc>
        <w:tc>
          <w:tcPr>
            <w:tcW w:type="dxa" w:w="1999"/>
          </w:tcPr>
          <w:p>
            <w:pPr>
              <w:spacing w:after="0"/>
            </w:pPr>
            <w:r>
              <w:rPr>
                <w:sz w:val="16"/>
              </w:rPr>
              <w:t>R</w:t>
            </w:r>
          </w:p>
        </w:tc>
        <w:tc>
          <w:tcPr>
            <w:tcW w:type="dxa" w:w="1999"/>
          </w:tcPr>
          <w:p>
            <w:pPr>
              <w:spacing w:after="0"/>
            </w:pPr>
            <w:r>
              <w:rPr>
                <w:sz w:val="16"/>
              </w:rPr>
              <w:t>C</w:t>
            </w:r>
          </w:p>
        </w:tc>
        <w:tc>
          <w:tcPr>
            <w:tcW w:type="dxa" w:w="1999"/>
          </w:tcPr>
          <w:p>
            <w:pPr>
              <w:spacing w:after="0"/>
            </w:pPr>
            <w:r>
              <w:rPr>
                <w:sz w:val="16"/>
              </w:rPr>
              <w:t>I</w:t>
            </w:r>
          </w:p>
        </w:tc>
        <w:tc>
          <w:tcPr>
            <w:tcW w:type="dxa" w:w="1999"/>
          </w:tcPr>
          <w:p>
            <w:pPr>
              <w:spacing w:after="0"/>
            </w:pPr>
            <w:r>
              <w:rPr>
                <w:sz w:val="16"/>
              </w:rPr>
              <w:t>A</w:t>
            </w:r>
          </w:p>
        </w:tc>
      </w:tr>
      <w:tr>
        <w:trPr>
          <w:cantSplit/>
        </w:trPr>
        <w:tc>
          <w:tcPr>
            <w:tcW w:type="dxa" w:w="1999"/>
            <w:shd w:fill="EEF5F8"/>
          </w:tcPr>
          <w:p>
            <w:pPr>
              <w:spacing w:after="0"/>
            </w:pPr>
            <w:r>
              <w:rPr>
                <w:sz w:val="16"/>
              </w:rPr>
              <w:t>Duplicate adjudication</w:t>
            </w:r>
          </w:p>
        </w:tc>
        <w:tc>
          <w:tcPr>
            <w:tcW w:type="dxa" w:w="1999"/>
            <w:shd w:fill="EEF5F8"/>
          </w:tcPr>
          <w:p>
            <w:pPr>
              <w:spacing w:after="0"/>
            </w:pPr>
            <w:r>
              <w:rPr>
                <w:sz w:val="16"/>
              </w:rPr>
              <w:t>C</w:t>
            </w:r>
          </w:p>
        </w:tc>
        <w:tc>
          <w:tcPr>
            <w:tcW w:type="dxa" w:w="1999"/>
            <w:shd w:fill="EEF5F8"/>
          </w:tcPr>
          <w:p>
            <w:pPr>
              <w:spacing w:after="0"/>
            </w:pPr>
            <w:r>
              <w:rPr>
                <w:sz w:val="16"/>
              </w:rPr>
              <w:t>A/R</w:t>
            </w:r>
          </w:p>
        </w:tc>
        <w:tc>
          <w:tcPr>
            <w:tcW w:type="dxa" w:w="1999"/>
            <w:shd w:fill="EEF5F8"/>
          </w:tcPr>
          <w:p>
            <w:pPr>
              <w:spacing w:after="0"/>
            </w:pPr>
            <w:r>
              <w:rPr>
                <w:sz w:val="16"/>
              </w:rPr>
              <w:t>C</w:t>
            </w:r>
          </w:p>
        </w:tc>
        <w:tc>
          <w:tcPr>
            <w:tcW w:type="dxa" w:w="1999"/>
            <w:shd w:fill="EEF5F8"/>
          </w:tcPr>
          <w:p>
            <w:pPr>
              <w:spacing w:after="0"/>
            </w:pPr>
            <w:r>
              <w:rPr>
                <w:sz w:val="16"/>
              </w:rPr>
              <w:t>I</w:t>
            </w:r>
          </w:p>
        </w:tc>
      </w:tr>
      <w:tr>
        <w:trPr>
          <w:cantSplit/>
        </w:trPr>
        <w:tc>
          <w:tcPr>
            <w:tcW w:type="dxa" w:w="1999"/>
          </w:tcPr>
          <w:p>
            <w:pPr>
              <w:spacing w:after="0"/>
            </w:pPr>
            <w:r>
              <w:rPr>
                <w:sz w:val="16"/>
              </w:rPr>
              <w:t>Quality metric signoff</w:t>
            </w:r>
          </w:p>
        </w:tc>
        <w:tc>
          <w:tcPr>
            <w:tcW w:type="dxa" w:w="1999"/>
          </w:tcPr>
          <w:p>
            <w:pPr>
              <w:spacing w:after="0"/>
            </w:pPr>
            <w:r>
              <w:rPr>
                <w:sz w:val="16"/>
              </w:rPr>
              <w:t>R</w:t>
            </w:r>
          </w:p>
        </w:tc>
        <w:tc>
          <w:tcPr>
            <w:tcW w:type="dxa" w:w="1999"/>
          </w:tcPr>
          <w:p>
            <w:pPr>
              <w:spacing w:after="0"/>
            </w:pPr>
            <w:r>
              <w:rPr>
                <w:sz w:val="16"/>
              </w:rPr>
              <w:t>R</w:t>
            </w:r>
          </w:p>
        </w:tc>
        <w:tc>
          <w:tcPr>
            <w:tcW w:type="dxa" w:w="1999"/>
          </w:tcPr>
          <w:p>
            <w:pPr>
              <w:spacing w:after="0"/>
            </w:pPr>
            <w:r>
              <w:rPr>
                <w:sz w:val="16"/>
              </w:rPr>
              <w:t>A</w:t>
            </w:r>
          </w:p>
        </w:tc>
        <w:tc>
          <w:tcPr>
            <w:tcW w:type="dxa" w:w="1999"/>
          </w:tcPr>
          <w:p>
            <w:pPr>
              <w:spacing w:after="0"/>
            </w:pPr>
            <w:r>
              <w:rPr>
                <w:sz w:val="16"/>
              </w:rPr>
              <w:t>I</w:t>
            </w:r>
          </w:p>
        </w:tc>
      </w:tr>
      <w:tr>
        <w:trPr>
          <w:cantSplit/>
        </w:trPr>
        <w:tc>
          <w:tcPr>
            <w:tcW w:type="dxa" w:w="1999"/>
            <w:shd w:fill="EEF5F8"/>
          </w:tcPr>
          <w:p>
            <w:pPr>
              <w:spacing w:after="0"/>
            </w:pPr>
            <w:r>
              <w:rPr>
                <w:sz w:val="16"/>
              </w:rPr>
              <w:t>Canonical release</w:t>
            </w:r>
          </w:p>
        </w:tc>
        <w:tc>
          <w:tcPr>
            <w:tcW w:type="dxa" w:w="1999"/>
            <w:shd w:fill="EEF5F8"/>
          </w:tcPr>
          <w:p>
            <w:pPr>
              <w:spacing w:after="0"/>
            </w:pPr>
            <w:r>
              <w:rPr>
                <w:sz w:val="16"/>
              </w:rPr>
              <w:t>R</w:t>
            </w:r>
          </w:p>
        </w:tc>
        <w:tc>
          <w:tcPr>
            <w:tcW w:type="dxa" w:w="1999"/>
            <w:shd w:fill="EEF5F8"/>
          </w:tcPr>
          <w:p>
            <w:pPr>
              <w:spacing w:after="0"/>
            </w:pPr>
            <w:r>
              <w:rPr>
                <w:sz w:val="16"/>
              </w:rPr>
              <w:t>R</w:t>
            </w:r>
          </w:p>
        </w:tc>
        <w:tc>
          <w:tcPr>
            <w:tcW w:type="dxa" w:w="1999"/>
            <w:shd w:fill="EEF5F8"/>
          </w:tcPr>
          <w:p>
            <w:pPr>
              <w:spacing w:after="0"/>
            </w:pPr>
            <w:r>
              <w:rPr>
                <w:sz w:val="16"/>
              </w:rPr>
              <w:t>A</w:t>
            </w:r>
          </w:p>
        </w:tc>
        <w:tc>
          <w:tcPr>
            <w:tcW w:type="dxa" w:w="1999"/>
            <w:shd w:fill="EEF5F8"/>
          </w:tcPr>
          <w:p>
            <w:pPr>
              <w:spacing w:after="0"/>
            </w:pPr>
            <w:r>
              <w:rPr>
                <w:sz w:val="16"/>
              </w:rPr>
              <w:t>C</w:t>
            </w:r>
          </w:p>
        </w:tc>
      </w:tr>
      <w:tr>
        <w:trPr>
          <w:cantSplit/>
        </w:trPr>
        <w:tc>
          <w:tcPr>
            <w:tcW w:type="dxa" w:w="1999"/>
          </w:tcPr>
          <w:p>
            <w:pPr>
              <w:spacing w:after="0"/>
            </w:pPr>
            <w:r>
              <w:rPr>
                <w:sz w:val="16"/>
              </w:rPr>
              <w:t>Access control review</w:t>
            </w:r>
          </w:p>
        </w:tc>
        <w:tc>
          <w:tcPr>
            <w:tcW w:type="dxa" w:w="1999"/>
          </w:tcPr>
          <w:p>
            <w:pPr>
              <w:spacing w:after="0"/>
            </w:pPr>
            <w:r>
              <w:rPr>
                <w:sz w:val="16"/>
              </w:rPr>
              <w:t>I</w:t>
            </w:r>
          </w:p>
        </w:tc>
        <w:tc>
          <w:tcPr>
            <w:tcW w:type="dxa" w:w="1999"/>
          </w:tcPr>
          <w:p>
            <w:pPr>
              <w:spacing w:after="0"/>
            </w:pPr>
            <w:r>
              <w:rPr>
                <w:sz w:val="16"/>
              </w:rPr>
              <w:t>C</w:t>
            </w:r>
          </w:p>
        </w:tc>
        <w:tc>
          <w:tcPr>
            <w:tcW w:type="dxa" w:w="1999"/>
          </w:tcPr>
          <w:p>
            <w:pPr>
              <w:spacing w:after="0"/>
            </w:pPr>
            <w:r>
              <w:rPr>
                <w:sz w:val="16"/>
              </w:rPr>
              <w:t>A</w:t>
            </w:r>
          </w:p>
        </w:tc>
        <w:tc>
          <w:tcPr>
            <w:tcW w:type="dxa" w:w="1999"/>
          </w:tcPr>
          <w:p>
            <w:pPr>
              <w:spacing w:after="0"/>
            </w:pPr>
            <w:r>
              <w:rPr>
                <w:sz w:val="16"/>
              </w:rPr>
              <w:t>R</w:t>
            </w:r>
          </w:p>
        </w:tc>
      </w:tr>
    </w:tbl>
    <w:p>
      <w:pPr>
        <w:spacing w:after="0"/>
      </w:pPr>
    </w:p>
    <w:p>
      <w:pPr>
        <w:spacing w:after="120"/>
      </w:pPr>
      <w:r>
        <w:t>R = Responsible; A = Accountable; C = Consulted; I = Informed. This is a fictional team operating model demonstrating governance separation of duties.</w:t>
      </w:r>
    </w:p>
    <w:p>
      <w:r>
        <w:br w:type="page"/>
      </w:r>
    </w:p>
    <w:p>
      <w:r>
        <w:rPr>
          <w:b/>
          <w:color w:val="0C7B89"/>
          <w:sz w:val="16"/>
        </w:rPr>
        <w:t>DEEP-DIVE CASE FILE  /  STEW-02</w:t>
      </w:r>
    </w:p>
    <w:p>
      <w:pPr>
        <w:pStyle w:val="Heading1"/>
      </w:pPr>
      <w:r>
        <w:t>Lineage, retained evidence and data incident procedure</w:t>
      </w:r>
    </w:p>
    <w:p>
      <w:pPr>
        <w:pStyle w:val="ListBullet"/>
        <w:spacing w:after="60"/>
      </w:pPr>
      <w:r>
        <w:t>Capture source_snapshot with immutable file hash, extraction time and schema version.</w:t>
      </w:r>
    </w:p>
    <w:p>
      <w:pPr>
        <w:pStyle w:val="ListBullet"/>
        <w:spacing w:after="60"/>
      </w:pPr>
      <w:r>
        <w:t>Profile 480 source rows without altering them; record completeness and proposed duplicate pairs.</w:t>
      </w:r>
    </w:p>
    <w:p>
      <w:pPr>
        <w:pStyle w:val="ListBullet"/>
        <w:spacing w:after="60"/>
      </w:pPr>
      <w:r>
        <w:t>Adjudicate 27 candidate pairs with approved match criteria, not just fuzzy-string similarity.</w:t>
      </w:r>
    </w:p>
    <w:p>
      <w:pPr>
        <w:pStyle w:val="ListBullet"/>
        <w:spacing w:after="60"/>
      </w:pPr>
      <w:r>
        <w:t>Build the 462-row canonical export from approved decisions; keep removed/merged source links.</w:t>
      </w:r>
    </w:p>
    <w:p>
      <w:pPr>
        <w:pStyle w:val="ListBullet"/>
        <w:spacing w:after="60"/>
      </w:pPr>
      <w:r>
        <w:t>Record 14 exceptions with owner, next action and follow-up cadence.</w:t>
      </w:r>
    </w:p>
    <w:p>
      <w:pPr>
        <w:pStyle w:val="ListBullet"/>
        <w:spacing w:after="60"/>
      </w:pPr>
      <w:r>
        <w:t>Validate unique business keys, required attributes and reference integrity before publishing.</w:t>
      </w:r>
    </w:p>
    <w:p>
      <w:pPr>
        <w:pStyle w:val="ListBullet"/>
        <w:spacing w:after="60"/>
      </w:pPr>
      <w:r>
        <w:t>Store QA test evidence, approval identities, and release change log with an explicit retention period.</w:t>
      </w:r>
    </w:p>
    <w:p>
      <w:pPr>
        <w:pStyle w:val="Heading2"/>
      </w:pPr>
      <w:r>
        <w:t>Breach response - mock incident</w:t>
      </w:r>
    </w:p>
    <w:tbl>
      <w:tblPr>
        <w:tblStyle w:val="TableGrid"/>
        <w:tblW w:type="auto" w:w="0"/>
        <w:tblLayout w:type="fixed"/>
        <w:tblLook w:firstColumn="1" w:firstRow="1" w:lastColumn="0" w:lastRow="0" w:noHBand="0" w:noVBand="1" w:val="04A0"/>
      </w:tblPr>
      <w:tblGrid>
        <w:gridCol w:w="3331"/>
        <w:gridCol w:w="3331"/>
        <w:gridCol w:w="3331"/>
      </w:tblGrid>
      <w:tr>
        <w:trPr>
          <w:tblHeader/>
        </w:trPr>
        <w:tc>
          <w:tcPr>
            <w:tcW w:type="dxa" w:w="1296"/>
            <w:shd w:fill="172946"/>
          </w:tcPr>
          <w:p>
            <w:r>
              <w:rPr>
                <w:b/>
                <w:color w:val="FFFFFF"/>
                <w:sz w:val="16"/>
              </w:rPr>
              <w:t>Minute</w:t>
            </w:r>
          </w:p>
        </w:tc>
        <w:tc>
          <w:tcPr>
            <w:tcW w:type="dxa" w:w="4608"/>
            <w:shd w:fill="172946"/>
          </w:tcPr>
          <w:p>
            <w:r>
              <w:rPr>
                <w:b/>
                <w:color w:val="FFFFFF"/>
                <w:sz w:val="16"/>
              </w:rPr>
              <w:t>Action</w:t>
            </w:r>
          </w:p>
        </w:tc>
        <w:tc>
          <w:tcPr>
            <w:tcW w:type="dxa" w:w="3888"/>
            <w:shd w:fill="172946"/>
          </w:tcPr>
          <w:p>
            <w:r>
              <w:rPr>
                <w:b/>
                <w:color w:val="FFFFFF"/>
                <w:sz w:val="16"/>
              </w:rPr>
              <w:t>Evidence</w:t>
            </w:r>
          </w:p>
        </w:tc>
      </w:tr>
      <w:tr>
        <w:trPr>
          <w:cantSplit/>
        </w:trPr>
        <w:tc>
          <w:tcPr>
            <w:tcW w:type="dxa" w:w="3331"/>
          </w:tcPr>
          <w:p>
            <w:pPr>
              <w:spacing w:after="0"/>
            </w:pPr>
            <w:r>
              <w:rPr>
                <w:sz w:val="16"/>
              </w:rPr>
              <w:t>0-15</w:t>
            </w:r>
          </w:p>
        </w:tc>
        <w:tc>
          <w:tcPr>
            <w:tcW w:type="dxa" w:w="3331"/>
          </w:tcPr>
          <w:p>
            <w:pPr>
              <w:spacing w:after="0"/>
            </w:pPr>
            <w:r>
              <w:rPr>
                <w:sz w:val="16"/>
              </w:rPr>
              <w:t>Detect unusual spike in unowned records</w:t>
            </w:r>
          </w:p>
        </w:tc>
        <w:tc>
          <w:tcPr>
            <w:tcW w:type="dxa" w:w="3331"/>
          </w:tcPr>
          <w:p>
            <w:pPr>
              <w:spacing w:after="0"/>
            </w:pPr>
            <w:r>
              <w:rPr>
                <w:sz w:val="16"/>
              </w:rPr>
              <w:t>Quality-rule alert / batch ID</w:t>
            </w:r>
          </w:p>
        </w:tc>
      </w:tr>
      <w:tr>
        <w:trPr>
          <w:cantSplit/>
        </w:trPr>
        <w:tc>
          <w:tcPr>
            <w:tcW w:type="dxa" w:w="3331"/>
            <w:shd w:fill="EEF5F8"/>
          </w:tcPr>
          <w:p>
            <w:pPr>
              <w:spacing w:after="0"/>
            </w:pPr>
            <w:r>
              <w:rPr>
                <w:sz w:val="16"/>
              </w:rPr>
              <w:t>15-30</w:t>
            </w:r>
          </w:p>
        </w:tc>
        <w:tc>
          <w:tcPr>
            <w:tcW w:type="dxa" w:w="3331"/>
            <w:shd w:fill="EEF5F8"/>
          </w:tcPr>
          <w:p>
            <w:pPr>
              <w:spacing w:after="0"/>
            </w:pPr>
            <w:r>
              <w:rPr>
                <w:sz w:val="16"/>
              </w:rPr>
              <w:t>Pause canonical release; preserve raw snapshot</w:t>
            </w:r>
          </w:p>
        </w:tc>
        <w:tc>
          <w:tcPr>
            <w:tcW w:type="dxa" w:w="3331"/>
            <w:shd w:fill="EEF5F8"/>
          </w:tcPr>
          <w:p>
            <w:pPr>
              <w:spacing w:after="0"/>
            </w:pPr>
            <w:r>
              <w:rPr>
                <w:sz w:val="16"/>
              </w:rPr>
              <w:t>Release hold and immutable source</w:t>
            </w:r>
          </w:p>
        </w:tc>
      </w:tr>
      <w:tr>
        <w:trPr>
          <w:cantSplit/>
        </w:trPr>
        <w:tc>
          <w:tcPr>
            <w:tcW w:type="dxa" w:w="3331"/>
          </w:tcPr>
          <w:p>
            <w:pPr>
              <w:spacing w:after="0"/>
            </w:pPr>
            <w:r>
              <w:rPr>
                <w:sz w:val="16"/>
              </w:rPr>
              <w:t>30-60</w:t>
            </w:r>
          </w:p>
        </w:tc>
        <w:tc>
          <w:tcPr>
            <w:tcW w:type="dxa" w:w="3331"/>
          </w:tcPr>
          <w:p>
            <w:pPr>
              <w:spacing w:after="0"/>
            </w:pPr>
            <w:r>
              <w:rPr>
                <w:sz w:val="16"/>
              </w:rPr>
              <w:t>Route to control owner; identify affected rows</w:t>
            </w:r>
          </w:p>
        </w:tc>
        <w:tc>
          <w:tcPr>
            <w:tcW w:type="dxa" w:w="3331"/>
          </w:tcPr>
          <w:p>
            <w:pPr>
              <w:spacing w:after="0"/>
            </w:pPr>
            <w:r>
              <w:rPr>
                <w:sz w:val="16"/>
              </w:rPr>
              <w:t>Issue log / scope estimate</w:t>
            </w:r>
          </w:p>
        </w:tc>
      </w:tr>
      <w:tr>
        <w:trPr>
          <w:cantSplit/>
        </w:trPr>
        <w:tc>
          <w:tcPr>
            <w:tcW w:type="dxa" w:w="3331"/>
            <w:shd w:fill="EEF5F8"/>
          </w:tcPr>
          <w:p>
            <w:pPr>
              <w:spacing w:after="0"/>
            </w:pPr>
            <w:r>
              <w:rPr>
                <w:sz w:val="16"/>
              </w:rPr>
              <w:t>60-120</w:t>
            </w:r>
          </w:p>
        </w:tc>
        <w:tc>
          <w:tcPr>
            <w:tcW w:type="dxa" w:w="3331"/>
            <w:shd w:fill="EEF5F8"/>
          </w:tcPr>
          <w:p>
            <w:pPr>
              <w:spacing w:after="0"/>
            </w:pPr>
            <w:r>
              <w:rPr>
                <w:sz w:val="16"/>
              </w:rPr>
              <w:t>Correct controlled values; rerun checks</w:t>
            </w:r>
          </w:p>
        </w:tc>
        <w:tc>
          <w:tcPr>
            <w:tcW w:type="dxa" w:w="3331"/>
            <w:shd w:fill="EEF5F8"/>
          </w:tcPr>
          <w:p>
            <w:pPr>
              <w:spacing w:after="0"/>
            </w:pPr>
            <w:r>
              <w:rPr>
                <w:sz w:val="16"/>
              </w:rPr>
              <w:t>Change history / re-validation</w:t>
            </w:r>
          </w:p>
        </w:tc>
      </w:tr>
      <w:tr>
        <w:trPr>
          <w:cantSplit/>
        </w:trPr>
        <w:tc>
          <w:tcPr>
            <w:tcW w:type="dxa" w:w="3331"/>
          </w:tcPr>
          <w:p>
            <w:pPr>
              <w:spacing w:after="0"/>
            </w:pPr>
            <w:r>
              <w:rPr>
                <w:sz w:val="16"/>
              </w:rPr>
              <w:t>After fix</w:t>
            </w:r>
          </w:p>
        </w:tc>
        <w:tc>
          <w:tcPr>
            <w:tcW w:type="dxa" w:w="3331"/>
          </w:tcPr>
          <w:p>
            <w:pPr>
              <w:spacing w:after="0"/>
            </w:pPr>
            <w:r>
              <w:rPr>
                <w:sz w:val="16"/>
              </w:rPr>
              <w:t>Obtain reviewer signoff and document prevention</w:t>
            </w:r>
          </w:p>
        </w:tc>
        <w:tc>
          <w:tcPr>
            <w:tcW w:type="dxa" w:w="3331"/>
          </w:tcPr>
          <w:p>
            <w:pPr>
              <w:spacing w:after="0"/>
            </w:pPr>
            <w:r>
              <w:rPr>
                <w:sz w:val="16"/>
              </w:rPr>
              <w:t>Release approval and root-cause note</w:t>
            </w:r>
          </w:p>
        </w:tc>
      </w:tr>
    </w:tbl>
    <w:p>
      <w:pPr>
        <w:spacing w:after="0"/>
      </w:pPr>
    </w:p>
    <w:p>
      <w:r>
        <w:br w:type="page"/>
      </w:r>
    </w:p>
    <w:p>
      <w:r>
        <w:rPr>
          <w:b/>
          <w:color w:val="0C7B89"/>
          <w:sz w:val="16"/>
        </w:rPr>
        <w:t>DEEP-DIVE CASE FILE  /  STEW-03</w:t>
      </w:r>
    </w:p>
    <w:p>
      <w:pPr>
        <w:pStyle w:val="Heading1"/>
      </w:pPr>
      <w:r>
        <w:t>Reviewable quality tests and SQL demonstration</w:t>
      </w:r>
    </w:p>
    <w:tbl>
      <w:tblPr>
        <w:tblStyle w:val="TableGrid"/>
        <w:tblW w:type="auto" w:w="0"/>
        <w:tblLayout w:type="fixed"/>
        <w:tblLook w:firstColumn="1" w:firstRow="1" w:lastColumn="0" w:lastRow="0" w:noHBand="0" w:noVBand="1" w:val="04A0"/>
      </w:tblPr>
      <w:tblGrid>
        <w:gridCol w:w="3331"/>
        <w:gridCol w:w="3331"/>
        <w:gridCol w:w="3331"/>
      </w:tblGrid>
      <w:tr>
        <w:trPr>
          <w:tblHeader/>
        </w:trPr>
        <w:tc>
          <w:tcPr>
            <w:tcW w:type="dxa" w:w="1080"/>
            <w:shd w:fill="172946"/>
          </w:tcPr>
          <w:p>
            <w:r>
              <w:rPr>
                <w:b/>
                <w:color w:val="FFFFFF"/>
                <w:sz w:val="16"/>
              </w:rPr>
              <w:t>Test</w:t>
            </w:r>
          </w:p>
        </w:tc>
        <w:tc>
          <w:tcPr>
            <w:tcW w:type="dxa" w:w="5256"/>
            <w:shd w:fill="172946"/>
          </w:tcPr>
          <w:p>
            <w:r>
              <w:rPr>
                <w:b/>
                <w:color w:val="FFFFFF"/>
                <w:sz w:val="16"/>
              </w:rPr>
              <w:t>Method</w:t>
            </w:r>
          </w:p>
        </w:tc>
        <w:tc>
          <w:tcPr>
            <w:tcW w:type="dxa" w:w="3456"/>
            <w:shd w:fill="172946"/>
          </w:tcPr>
          <w:p>
            <w:r>
              <w:rPr>
                <w:b/>
                <w:color w:val="FFFFFF"/>
                <w:sz w:val="16"/>
              </w:rPr>
              <w:t>Expected</w:t>
            </w:r>
          </w:p>
        </w:tc>
      </w:tr>
      <w:tr>
        <w:trPr>
          <w:cantSplit/>
        </w:trPr>
        <w:tc>
          <w:tcPr>
            <w:tcW w:type="dxa" w:w="3331"/>
          </w:tcPr>
          <w:p>
            <w:pPr>
              <w:spacing w:after="0"/>
            </w:pPr>
            <w:r>
              <w:rPr>
                <w:sz w:val="16"/>
              </w:rPr>
              <w:t>ST-01</w:t>
            </w:r>
          </w:p>
        </w:tc>
        <w:tc>
          <w:tcPr>
            <w:tcW w:type="dxa" w:w="3331"/>
          </w:tcPr>
          <w:p>
            <w:pPr>
              <w:spacing w:after="0"/>
            </w:pPr>
            <w:r>
              <w:rPr>
                <w:sz w:val="16"/>
              </w:rPr>
              <w:t>Count raw / final files</w:t>
            </w:r>
          </w:p>
        </w:tc>
        <w:tc>
          <w:tcPr>
            <w:tcW w:type="dxa" w:w="3331"/>
          </w:tcPr>
          <w:p>
            <w:pPr>
              <w:spacing w:after="0"/>
            </w:pPr>
            <w:r>
              <w:rPr>
                <w:sz w:val="16"/>
              </w:rPr>
              <w:t>480 raw; 462 canonical</w:t>
            </w:r>
          </w:p>
        </w:tc>
      </w:tr>
      <w:tr>
        <w:trPr>
          <w:cantSplit/>
        </w:trPr>
        <w:tc>
          <w:tcPr>
            <w:tcW w:type="dxa" w:w="3331"/>
            <w:shd w:fill="EEF5F8"/>
          </w:tcPr>
          <w:p>
            <w:pPr>
              <w:spacing w:after="0"/>
            </w:pPr>
            <w:r>
              <w:rPr>
                <w:sz w:val="16"/>
              </w:rPr>
              <w:t>ST-02</w:t>
            </w:r>
          </w:p>
        </w:tc>
        <w:tc>
          <w:tcPr>
            <w:tcW w:type="dxa" w:w="3331"/>
            <w:shd w:fill="EEF5F8"/>
          </w:tcPr>
          <w:p>
            <w:pPr>
              <w:spacing w:after="0"/>
            </w:pPr>
            <w:r>
              <w:rPr>
                <w:sz w:val="16"/>
              </w:rPr>
              <w:t>Inspect 27 match decisions</w:t>
            </w:r>
          </w:p>
        </w:tc>
        <w:tc>
          <w:tcPr>
            <w:tcW w:type="dxa" w:w="3331"/>
            <w:shd w:fill="EEF5F8"/>
          </w:tcPr>
          <w:p>
            <w:pPr>
              <w:spacing w:after="0"/>
            </w:pPr>
            <w:r>
              <w:rPr>
                <w:sz w:val="16"/>
              </w:rPr>
              <w:t>All pairs show rationale and outcome</w:t>
            </w:r>
          </w:p>
        </w:tc>
      </w:tr>
      <w:tr>
        <w:trPr>
          <w:cantSplit/>
        </w:trPr>
        <w:tc>
          <w:tcPr>
            <w:tcW w:type="dxa" w:w="3331"/>
          </w:tcPr>
          <w:p>
            <w:pPr>
              <w:spacing w:after="0"/>
            </w:pPr>
            <w:r>
              <w:rPr>
                <w:sz w:val="16"/>
              </w:rPr>
              <w:t>ST-03</w:t>
            </w:r>
          </w:p>
        </w:tc>
        <w:tc>
          <w:tcPr>
            <w:tcW w:type="dxa" w:w="3331"/>
          </w:tcPr>
          <w:p>
            <w:pPr>
              <w:spacing w:after="0"/>
            </w:pPr>
            <w:r>
              <w:rPr>
                <w:sz w:val="16"/>
              </w:rPr>
              <w:t>Review 14 open exceptions</w:t>
            </w:r>
          </w:p>
        </w:tc>
        <w:tc>
          <w:tcPr>
            <w:tcW w:type="dxa" w:w="3331"/>
          </w:tcPr>
          <w:p>
            <w:pPr>
              <w:spacing w:after="0"/>
            </w:pPr>
            <w:r>
              <w:rPr>
                <w:sz w:val="16"/>
              </w:rPr>
              <w:t>Each has accountability evidence</w:t>
            </w:r>
          </w:p>
        </w:tc>
      </w:tr>
      <w:tr>
        <w:trPr>
          <w:cantSplit/>
        </w:trPr>
        <w:tc>
          <w:tcPr>
            <w:tcW w:type="dxa" w:w="3331"/>
            <w:shd w:fill="EEF5F8"/>
          </w:tcPr>
          <w:p>
            <w:pPr>
              <w:spacing w:after="0"/>
            </w:pPr>
            <w:r>
              <w:rPr>
                <w:sz w:val="16"/>
              </w:rPr>
              <w:t>ST-04</w:t>
            </w:r>
          </w:p>
        </w:tc>
        <w:tc>
          <w:tcPr>
            <w:tcW w:type="dxa" w:w="3331"/>
            <w:shd w:fill="EEF5F8"/>
          </w:tcPr>
          <w:p>
            <w:pPr>
              <w:spacing w:after="0"/>
            </w:pPr>
            <w:r>
              <w:rPr>
                <w:sz w:val="16"/>
              </w:rPr>
              <w:t>Find duplicate canonical external keys</w:t>
            </w:r>
          </w:p>
        </w:tc>
        <w:tc>
          <w:tcPr>
            <w:tcW w:type="dxa" w:w="3331"/>
            <w:shd w:fill="EEF5F8"/>
          </w:tcPr>
          <w:p>
            <w:pPr>
              <w:spacing w:after="0"/>
            </w:pPr>
            <w:r>
              <w:rPr>
                <w:sz w:val="16"/>
              </w:rPr>
              <w:t>Investigate any collisions</w:t>
            </w:r>
          </w:p>
        </w:tc>
      </w:tr>
      <w:tr>
        <w:trPr>
          <w:cantSplit/>
        </w:trPr>
        <w:tc>
          <w:tcPr>
            <w:tcW w:type="dxa" w:w="3331"/>
          </w:tcPr>
          <w:p>
            <w:pPr>
              <w:spacing w:after="0"/>
            </w:pPr>
            <w:r>
              <w:rPr>
                <w:sz w:val="16"/>
              </w:rPr>
              <w:t>ST-05</w:t>
            </w:r>
          </w:p>
        </w:tc>
        <w:tc>
          <w:tcPr>
            <w:tcW w:type="dxa" w:w="3331"/>
          </w:tcPr>
          <w:p>
            <w:pPr>
              <w:spacing w:after="0"/>
            </w:pPr>
            <w:r>
              <w:rPr>
                <w:sz w:val="16"/>
              </w:rPr>
              <w:t>Find missing account owners</w:t>
            </w:r>
          </w:p>
        </w:tc>
        <w:tc>
          <w:tcPr>
            <w:tcW w:type="dxa" w:w="3331"/>
          </w:tcPr>
          <w:p>
            <w:pPr>
              <w:spacing w:after="0"/>
            </w:pPr>
            <w:r>
              <w:rPr>
                <w:sz w:val="16"/>
              </w:rPr>
              <w:t>Queue and assign owner</w:t>
            </w:r>
          </w:p>
        </w:tc>
      </w:tr>
      <w:tr>
        <w:trPr>
          <w:cantSplit/>
        </w:trPr>
        <w:tc>
          <w:tcPr>
            <w:tcW w:type="dxa" w:w="3331"/>
            <w:shd w:fill="EEF5F8"/>
          </w:tcPr>
          <w:p>
            <w:pPr>
              <w:spacing w:after="0"/>
            </w:pPr>
            <w:r>
              <w:rPr>
                <w:sz w:val="16"/>
              </w:rPr>
              <w:t>ST-06</w:t>
            </w:r>
          </w:p>
        </w:tc>
        <w:tc>
          <w:tcPr>
            <w:tcW w:type="dxa" w:w="3331"/>
            <w:shd w:fill="EEF5F8"/>
          </w:tcPr>
          <w:p>
            <w:pPr>
              <w:spacing w:after="0"/>
            </w:pPr>
            <w:r>
              <w:rPr>
                <w:sz w:val="16"/>
              </w:rPr>
              <w:t>Check parent linkage against source IDs</w:t>
            </w:r>
          </w:p>
        </w:tc>
        <w:tc>
          <w:tcPr>
            <w:tcW w:type="dxa" w:w="3331"/>
            <w:shd w:fill="EEF5F8"/>
          </w:tcPr>
          <w:p>
            <w:pPr>
              <w:spacing w:after="0"/>
            </w:pPr>
            <w:r>
              <w:rPr>
                <w:sz w:val="16"/>
              </w:rPr>
              <w:t>No orphan released link</w:t>
            </w:r>
          </w:p>
        </w:tc>
      </w:tr>
      <w:tr>
        <w:trPr>
          <w:cantSplit/>
        </w:trPr>
        <w:tc>
          <w:tcPr>
            <w:tcW w:type="dxa" w:w="3331"/>
          </w:tcPr>
          <w:p>
            <w:pPr>
              <w:spacing w:after="0"/>
            </w:pPr>
            <w:r>
              <w:rPr>
                <w:sz w:val="16"/>
              </w:rPr>
              <w:t>ST-07</w:t>
            </w:r>
          </w:p>
        </w:tc>
        <w:tc>
          <w:tcPr>
            <w:tcW w:type="dxa" w:w="3331"/>
          </w:tcPr>
          <w:p>
            <w:pPr>
              <w:spacing w:after="0"/>
            </w:pPr>
            <w:r>
              <w:rPr>
                <w:sz w:val="16"/>
              </w:rPr>
              <w:t>Recalculate metric definitions</w:t>
            </w:r>
          </w:p>
        </w:tc>
        <w:tc>
          <w:tcPr>
            <w:tcW w:type="dxa" w:w="3331"/>
          </w:tcPr>
          <w:p>
            <w:pPr>
              <w:spacing w:after="0"/>
            </w:pPr>
            <w:r>
              <w:rPr>
                <w:sz w:val="16"/>
              </w:rPr>
              <w:t>Numerator, denominator, scope repeatable</w:t>
            </w:r>
          </w:p>
        </w:tc>
      </w:tr>
      <w:tr>
        <w:trPr>
          <w:cantSplit/>
        </w:trPr>
        <w:tc>
          <w:tcPr>
            <w:tcW w:type="dxa" w:w="3331"/>
            <w:shd w:fill="EEF5F8"/>
          </w:tcPr>
          <w:p>
            <w:pPr>
              <w:spacing w:after="0"/>
            </w:pPr>
            <w:r>
              <w:rPr>
                <w:sz w:val="16"/>
              </w:rPr>
              <w:t>ST-08</w:t>
            </w:r>
          </w:p>
        </w:tc>
        <w:tc>
          <w:tcPr>
            <w:tcW w:type="dxa" w:w="3331"/>
            <w:shd w:fill="EEF5F8"/>
          </w:tcPr>
          <w:p>
            <w:pPr>
              <w:spacing w:after="0"/>
            </w:pPr>
            <w:r>
              <w:rPr>
                <w:sz w:val="16"/>
              </w:rPr>
              <w:t>Inspect export row lineage</w:t>
            </w:r>
          </w:p>
        </w:tc>
        <w:tc>
          <w:tcPr>
            <w:tcW w:type="dxa" w:w="3331"/>
            <w:shd w:fill="EEF5F8"/>
          </w:tcPr>
          <w:p>
            <w:pPr>
              <w:spacing w:after="0"/>
            </w:pPr>
            <w:r>
              <w:rPr>
                <w:sz w:val="16"/>
              </w:rPr>
              <w:t>Each canonical row traces to source</w:t>
            </w:r>
          </w:p>
        </w:tc>
      </w:tr>
    </w:tbl>
    <w:p>
      <w:pPr>
        <w:spacing w:after="0"/>
      </w:pPr>
    </w:p>
    <w:p>
      <w:pPr>
        <w:spacing w:after="120"/>
      </w:pPr>
      <w:r>
        <w:t>The companion SQL_data_quality_review_examples.sql contains dialect-neutral review query templates for canonical collisions, missing owner information, parent-key integrity and source-to-target totals. They are examples for demonstration; no query execution against a live database is claimed.</w:t>
      </w:r>
    </w:p>
    <w:p>
      <w:pPr>
        <w:pStyle w:val="Heading2"/>
      </w:pPr>
      <w:r>
        <w:t>Stewardship judgment: do not over-merge</w:t>
      </w:r>
    </w:p>
    <w:p>
      <w:pPr>
        <w:spacing w:after="120"/>
      </w:pPr>
      <w:r>
        <w:t>A shared contact address, similar organization name, or near-match external key is a candidate, not proof of identity. Confirm the governed matching threshold, preserve the source IDs, record an auditable rationale, and avoid deletions without approval.</w:t>
      </w:r>
    </w:p>
    <w:p>
      <w:pPr>
        <w:pStyle w:val="Heading2"/>
      </w:pPr>
      <w:r>
        <w:t>Interview narrative</w:t>
      </w:r>
    </w:p>
    <w:p>
      <w:pPr>
        <w:spacing w:after="120"/>
      </w:pPr>
      <w:r>
        <w:t>“I built a simulated quality-governance workflow around 480 source rows and 462 published records. I documented 27 candidate matching decisions, 14 assigned exceptions, a data dictionary, rule thresholds, escalation paths and repeatable lineage checks.”</w:t>
      </w:r>
    </w:p>
    <w:sectPr w:rsidR="00FC693F" w:rsidRPr="0006063C" w:rsidSect="00034616">
      <w:headerReference w:type="default" r:id="rId9"/>
      <w:footerReference w:type="default" r:id="rId10"/>
      <w:pgSz w:w="12240" w:h="15840"/>
      <w:pgMar w:top="1195" w:right="1123" w:bottom="965"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77"/>
        <w:sz w:val="14"/>
      </w:rPr>
      <w:t>SYNTHETIC TRAINING MATERIAL  •  NO REAL CLIENT, PATIENT, OR EMPLOYER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D8C"/>
        <w:sz w:val="15"/>
      </w:rPr>
      <w:t>JOB-READY OPERATIONS PORTFOLIO</w:t>
    </w:r>
    <w:r>
      <w:rPr>
        <w:rFonts w:ascii="Aptos" w:hAnsi="Aptos"/>
        <w:color w:val="4C5D72"/>
        <w:sz w:val="15"/>
      </w:rPr>
      <w:t xml:space="preserve">  /  05  DATA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B26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ptos" w:hAnsi="Aptos"/>
      <w:b/>
      <w:bCs/>
      <w:color w:val="16263F"/>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87D8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626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40"/>
    </w:pPr>
    <w:rPr>
      <w:rFonts w:ascii="Aptos" w:hAnsi="Aptos"/>
      <w:b/>
      <w:bCs/>
      <w:color w:val="4C5D7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cro">
    <w:name w:val="Micro"/>
    <w:pPr>
      <w:spacing w:after="40" w:line="252" w:lineRule="auto"/>
    </w:pPr>
    <w:rPr>
      <w:rFonts w:ascii="Aptos" w:hAnsi="Aptos"/>
      <w:color w:val="6D7B8A"/>
      <w:sz w:val="15"/>
    </w:rPr>
  </w:style>
  <w:style w:type="paragraph" w:customStyle="1" w:styleId="TableData">
    <w:name w:val="Table Data"/>
    <w:pPr>
      <w:spacing w:after="40" w:line="252" w:lineRule="auto"/>
    </w:pPr>
    <w:rPr>
      <w:rFonts w:ascii="Aptos" w:hAnsi="Aptos"/>
      <w:color w:val="1B2635"/>
      <w:sz w:val="16"/>
    </w:rPr>
  </w:style>
  <w:style w:type="paragraph" w:customStyle="1" w:styleId="TableHead">
    <w:name w:val="Table Head"/>
    <w:pPr>
      <w:spacing w:after="40" w:line="252" w:lineRule="auto"/>
    </w:pPr>
    <w:rPr>
      <w:rFonts w:ascii="Aptos" w:hAnsi="Aptos"/>
      <w:color w:val="FFFF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Stewardship &amp; Quality Controls</dc:title>
  <dc:subject>Job-ready simulated operations portfolio artifact</dc:subject>
  <dc:creator>Jamie Christian II | Portfolio Demonstration</dc:creator>
  <cp:keywords/>
  <dc:description>Fictional simulation. Added deep-dive operational evidence and controls.</dc:description>
  <cp:lastModifiedBy/>
  <cp:revision>1</cp:revision>
  <dcterms:created xsi:type="dcterms:W3CDTF">2013-12-23T23:15:00Z</dcterms:created>
  <dcterms:modified xsi:type="dcterms:W3CDTF">2013-12-23T23:15:00Z</dcterms:modified>
  <cp:category/>
  <cp:version>3.0</cp:version>
</cp:coreProperties>
</file>