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Migration &amp; Security Program</w:t>
      </w:r>
    </w:p>
    <w:p>
      <w:r>
        <w:t>Problem:</w:t>
        <w:br/>
        <w:t>Legacy systems and fragmented delivery caused inefficiency.</w:t>
      </w:r>
    </w:p>
    <w:p>
      <w:r>
        <w:t>Role &amp; Actions:</w:t>
        <w:br/>
        <w:t>Defined scope, built integrated roadmap, led cross-functional teams, managed risks.</w:t>
      </w:r>
    </w:p>
    <w:p>
      <w:r>
        <w:t>Solutions:</w:t>
        <w:br/>
        <w:t>Agile-Waterfall hybrid delivery, executive governance, KPI dashboards.</w:t>
      </w:r>
    </w:p>
    <w:p>
      <w:r>
        <w:t>Results:</w:t>
        <w:br/>
        <w:t>Migrated 120+ applications with 99.9% uptime and 20% infrastructure savings.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