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Hospital Intake Workflow Optimization</w:t>
      </w:r>
    </w:p>
    <w:p>
      <w:pPr>
        <w:jc w:val="center"/>
      </w:pPr>
      <w:r>
        <w:rPr>
          <w:color w:val="5A5A5A"/>
          <w:sz w:val="20"/>
        </w:rPr>
        <w:t>Project Charter &amp; Management Plan | Simulated Portfolio Case Study</w:t>
      </w:r>
    </w:p>
    <w:p>
      <w:r>
        <w:rPr>
          <w:b/>
        </w:rPr>
        <w:t xml:space="preserve">Data disclosure: </w:t>
      </w:r>
      <w:r>
        <w:t>All data is simulated. This project contains no PHI or real patient information.</w:t>
      </w:r>
    </w:p>
    <w:p>
      <w:pPr>
        <w:pStyle w:val="Heading1"/>
      </w:pPr>
      <w:r>
        <w:t>1. Executive Summary</w:t>
      </w:r>
    </w:p>
    <w:p>
      <w:r>
        <w:t>This project coordinates a simulated hospital intake workflow optimization across registration, insurance verification, digital intake, and clinical handoff. The objective is to reduce processing delays, lower rework, improve data quality, and standardize intake across five departments.</w:t>
      </w:r>
    </w:p>
    <w:p>
      <w:pPr>
        <w:pStyle w:val="Heading1"/>
      </w:pPr>
      <w:r>
        <w:t>2. Business Need</w:t>
      </w:r>
    </w:p>
    <w:p>
      <w:r>
        <w:t>The current-state workflow includes duplicated intake information, late insurance verification, inconsistent handoffs, and exception handling that occurs too late. These conditions create avoidable wait time and rework.</w:t>
      </w:r>
    </w:p>
    <w:p>
      <w:pPr>
        <w:pStyle w:val="Heading1"/>
      </w:pPr>
      <w:r>
        <w:t>3. Objectives</w:t>
      </w:r>
    </w:p>
    <w:p>
      <w:r>
        <w:t>Reduce average registration time by at least 40%; reduce average wait time by at least 35%; increase digital form adoption to at least 90%; reduce simulated data-entry errors below 3%; improve patient satisfaction to at least 4.3/5; complete all milestones; close all critical risks/issues; and remain within the $105,000 baseline.</w:t>
      </w:r>
    </w:p>
    <w:p>
      <w:pPr>
        <w:pStyle w:val="Heading1"/>
      </w:pPr>
      <w:r>
        <w:t>4. Scope</w:t>
      </w:r>
    </w:p>
    <w:p>
      <w:r>
        <w:t>In scope: As-Is mapping, KPI baseline, To-Be design, digital intake configuration, pre-arrival eligibility workflow, staff training, pilot, QA, phased rollout, stabilization, reporting, and closeout. Out of scope: EHR replacement, clinical treatment redesign, claims adjudication, staffing model redesign, and use of real patient records.</w:t>
      </w:r>
    </w:p>
    <w:p>
      <w:pPr>
        <w:pStyle w:val="Heading1"/>
      </w:pPr>
      <w:r>
        <w:t>5. Success Measures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4472C4"/>
          </w:tcPr>
          <w:p>
            <w:r>
              <w:rPr>
                <w:b/>
                <w:color w:val="FFFFFF"/>
                <w:sz w:val="16"/>
              </w:rPr>
              <w:t>Metric</w:t>
            </w:r>
          </w:p>
        </w:tc>
        <w:tc>
          <w:tcPr>
            <w:tcW w:type="dxa" w:w="2556"/>
            <w:shd w:fill="4472C4"/>
          </w:tcPr>
          <w:p>
            <w:r>
              <w:rPr>
                <w:b/>
                <w:color w:val="FFFFFF"/>
                <w:sz w:val="16"/>
              </w:rPr>
              <w:t>Target</w:t>
            </w:r>
          </w:p>
        </w:tc>
        <w:tc>
          <w:tcPr>
            <w:tcW w:type="dxa" w:w="2556"/>
            <w:shd w:fill="4472C4"/>
          </w:tcPr>
          <w:p>
            <w:r>
              <w:rPr>
                <w:b/>
                <w:color w:val="FFFFFF"/>
                <w:sz w:val="16"/>
              </w:rPr>
              <w:t>Simulated Result</w:t>
            </w:r>
          </w:p>
        </w:tc>
        <w:tc>
          <w:tcPr>
            <w:tcW w:type="dxa" w:w="2556"/>
            <w:shd w:fill="4472C4"/>
          </w:tcPr>
          <w:p>
            <w:r>
              <w:rPr>
                <w:b/>
                <w:color w:val="FFFFFF"/>
                <w:sz w:val="16"/>
              </w:rPr>
              <w:t>Status</w:t>
            </w:r>
          </w:p>
        </w:tc>
      </w:tr>
      <w:tr>
        <w:tc>
          <w:tcPr>
            <w:tcW w:type="dxa" w:w="2556"/>
            <w:vAlign w:val="center"/>
          </w:tcPr>
          <w:p>
            <w:r>
              <w:rPr>
                <w:sz w:val="16"/>
              </w:rPr>
              <w:t>Registration time reduction</w:t>
            </w:r>
          </w:p>
        </w:tc>
        <w:tc>
          <w:tcPr>
            <w:tcW w:type="dxa" w:w="2556"/>
            <w:vAlign w:val="center"/>
          </w:tcPr>
          <w:p>
            <w:r>
              <w:rPr>
                <w:sz w:val="16"/>
              </w:rPr>
              <w:t>&gt;=40%</w:t>
            </w:r>
          </w:p>
        </w:tc>
        <w:tc>
          <w:tcPr>
            <w:tcW w:type="dxa" w:w="2556"/>
            <w:vAlign w:val="center"/>
          </w:tcPr>
          <w:p>
            <w:r>
              <w:rPr>
                <w:sz w:val="16"/>
              </w:rPr>
              <w:t>48.6%</w:t>
            </w:r>
          </w:p>
        </w:tc>
        <w:tc>
          <w:tcPr>
            <w:tcW w:type="dxa" w:w="2556"/>
            <w:vAlign w:val="center"/>
          </w:tcPr>
          <w:p>
            <w:r>
              <w:rPr>
                <w:sz w:val="16"/>
              </w:rPr>
              <w:t>Met</w:t>
            </w:r>
          </w:p>
        </w:tc>
      </w:tr>
      <w:tr>
        <w:tc>
          <w:tcPr>
            <w:tcW w:type="dxa" w:w="2556"/>
            <w:vAlign w:val="center"/>
          </w:tcPr>
          <w:p>
            <w:r>
              <w:rPr>
                <w:sz w:val="16"/>
              </w:rPr>
              <w:t>Wait-time reduction</w:t>
            </w:r>
          </w:p>
        </w:tc>
        <w:tc>
          <w:tcPr>
            <w:tcW w:type="dxa" w:w="2556"/>
            <w:vAlign w:val="center"/>
          </w:tcPr>
          <w:p>
            <w:r>
              <w:rPr>
                <w:sz w:val="16"/>
              </w:rPr>
              <w:t>&gt;=35%</w:t>
            </w:r>
          </w:p>
        </w:tc>
        <w:tc>
          <w:tcPr>
            <w:tcW w:type="dxa" w:w="2556"/>
            <w:vAlign w:val="center"/>
          </w:tcPr>
          <w:p>
            <w:r>
              <w:rPr>
                <w:sz w:val="16"/>
              </w:rPr>
              <w:t>44.5%</w:t>
            </w:r>
          </w:p>
        </w:tc>
        <w:tc>
          <w:tcPr>
            <w:tcW w:type="dxa" w:w="2556"/>
            <w:vAlign w:val="center"/>
          </w:tcPr>
          <w:p>
            <w:r>
              <w:rPr>
                <w:sz w:val="16"/>
              </w:rPr>
              <w:t>Met</w:t>
            </w:r>
          </w:p>
        </w:tc>
      </w:tr>
      <w:tr>
        <w:tc>
          <w:tcPr>
            <w:tcW w:type="dxa" w:w="2556"/>
            <w:vAlign w:val="center"/>
          </w:tcPr>
          <w:p>
            <w:r>
              <w:rPr>
                <w:sz w:val="16"/>
              </w:rPr>
              <w:t>Digital form adoption</w:t>
            </w:r>
          </w:p>
        </w:tc>
        <w:tc>
          <w:tcPr>
            <w:tcW w:type="dxa" w:w="2556"/>
            <w:vAlign w:val="center"/>
          </w:tcPr>
          <w:p>
            <w:r>
              <w:rPr>
                <w:sz w:val="16"/>
              </w:rPr>
              <w:t>&gt;=90%</w:t>
            </w:r>
          </w:p>
        </w:tc>
        <w:tc>
          <w:tcPr>
            <w:tcW w:type="dxa" w:w="2556"/>
            <w:vAlign w:val="center"/>
          </w:tcPr>
          <w:p>
            <w:r>
              <w:rPr>
                <w:sz w:val="16"/>
              </w:rPr>
              <w:t>94%</w:t>
            </w:r>
          </w:p>
        </w:tc>
        <w:tc>
          <w:tcPr>
            <w:tcW w:type="dxa" w:w="2556"/>
            <w:vAlign w:val="center"/>
          </w:tcPr>
          <w:p>
            <w:r>
              <w:rPr>
                <w:sz w:val="16"/>
              </w:rPr>
              <w:t>Met</w:t>
            </w:r>
          </w:p>
        </w:tc>
      </w:tr>
      <w:tr>
        <w:tc>
          <w:tcPr>
            <w:tcW w:type="dxa" w:w="2556"/>
            <w:vAlign w:val="center"/>
          </w:tcPr>
          <w:p>
            <w:r>
              <w:rPr>
                <w:sz w:val="16"/>
              </w:rPr>
              <w:t>Data error rate</w:t>
            </w:r>
          </w:p>
        </w:tc>
        <w:tc>
          <w:tcPr>
            <w:tcW w:type="dxa" w:w="2556"/>
            <w:vAlign w:val="center"/>
          </w:tcPr>
          <w:p>
            <w:r>
              <w:rPr>
                <w:sz w:val="16"/>
              </w:rPr>
              <w:t>&lt;3%</w:t>
            </w:r>
          </w:p>
        </w:tc>
        <w:tc>
          <w:tcPr>
            <w:tcW w:type="dxa" w:w="2556"/>
            <w:vAlign w:val="center"/>
          </w:tcPr>
          <w:p>
            <w:r>
              <w:rPr>
                <w:sz w:val="16"/>
              </w:rPr>
              <w:t>1.8%</w:t>
            </w:r>
          </w:p>
        </w:tc>
        <w:tc>
          <w:tcPr>
            <w:tcW w:type="dxa" w:w="2556"/>
            <w:vAlign w:val="center"/>
          </w:tcPr>
          <w:p>
            <w:r>
              <w:rPr>
                <w:sz w:val="16"/>
              </w:rPr>
              <w:t>Met</w:t>
            </w:r>
          </w:p>
        </w:tc>
      </w:tr>
      <w:tr>
        <w:tc>
          <w:tcPr>
            <w:tcW w:type="dxa" w:w="2556"/>
            <w:vAlign w:val="center"/>
          </w:tcPr>
          <w:p>
            <w:r>
              <w:rPr>
                <w:sz w:val="16"/>
              </w:rPr>
              <w:t>Patient satisfaction</w:t>
            </w:r>
          </w:p>
        </w:tc>
        <w:tc>
          <w:tcPr>
            <w:tcW w:type="dxa" w:w="2556"/>
            <w:vAlign w:val="center"/>
          </w:tcPr>
          <w:p>
            <w:r>
              <w:rPr>
                <w:sz w:val="16"/>
              </w:rPr>
              <w:t>&gt;=4.3/5</w:t>
            </w:r>
          </w:p>
        </w:tc>
        <w:tc>
          <w:tcPr>
            <w:tcW w:type="dxa" w:w="2556"/>
            <w:vAlign w:val="center"/>
          </w:tcPr>
          <w:p>
            <w:r>
              <w:rPr>
                <w:sz w:val="16"/>
              </w:rPr>
              <w:t>4.6/5</w:t>
            </w:r>
          </w:p>
        </w:tc>
        <w:tc>
          <w:tcPr>
            <w:tcW w:type="dxa" w:w="2556"/>
            <w:vAlign w:val="center"/>
          </w:tcPr>
          <w:p>
            <w:r>
              <w:rPr>
                <w:sz w:val="16"/>
              </w:rPr>
              <w:t>Met</w:t>
            </w:r>
          </w:p>
        </w:tc>
      </w:tr>
      <w:tr>
        <w:tc>
          <w:tcPr>
            <w:tcW w:type="dxa" w:w="2556"/>
            <w:vAlign w:val="center"/>
          </w:tcPr>
          <w:p>
            <w:r>
              <w:rPr>
                <w:sz w:val="16"/>
              </w:rPr>
              <w:t>Milestone completion</w:t>
            </w:r>
          </w:p>
        </w:tc>
        <w:tc>
          <w:tcPr>
            <w:tcW w:type="dxa" w:w="2556"/>
            <w:vAlign w:val="center"/>
          </w:tcPr>
          <w:p>
            <w:r>
              <w:rPr>
                <w:sz w:val="16"/>
              </w:rPr>
              <w:t>100%</w:t>
            </w:r>
          </w:p>
        </w:tc>
        <w:tc>
          <w:tcPr>
            <w:tcW w:type="dxa" w:w="2556"/>
            <w:vAlign w:val="center"/>
          </w:tcPr>
          <w:p>
            <w:r>
              <w:rPr>
                <w:sz w:val="16"/>
              </w:rPr>
              <w:t>100%</w:t>
            </w:r>
          </w:p>
        </w:tc>
        <w:tc>
          <w:tcPr>
            <w:tcW w:type="dxa" w:w="2556"/>
            <w:vAlign w:val="center"/>
          </w:tcPr>
          <w:p>
            <w:r>
              <w:rPr>
                <w:sz w:val="16"/>
              </w:rPr>
              <w:t>Met</w:t>
            </w:r>
          </w:p>
        </w:tc>
      </w:tr>
      <w:tr>
        <w:tc>
          <w:tcPr>
            <w:tcW w:type="dxa" w:w="2556"/>
            <w:vAlign w:val="center"/>
          </w:tcPr>
          <w:p>
            <w:r>
              <w:rPr>
                <w:sz w:val="16"/>
              </w:rPr>
              <w:t>Budget</w:t>
            </w:r>
          </w:p>
        </w:tc>
        <w:tc>
          <w:tcPr>
            <w:tcW w:type="dxa" w:w="2556"/>
            <w:vAlign w:val="center"/>
          </w:tcPr>
          <w:p>
            <w:r>
              <w:rPr>
                <w:sz w:val="16"/>
              </w:rPr>
              <w:t>&lt;=$105,000</w:t>
            </w:r>
          </w:p>
        </w:tc>
        <w:tc>
          <w:tcPr>
            <w:tcW w:type="dxa" w:w="2556"/>
            <w:vAlign w:val="center"/>
          </w:tcPr>
          <w:p>
            <w:r>
              <w:rPr>
                <w:sz w:val="16"/>
              </w:rPr>
              <w:t>$103,150</w:t>
            </w:r>
          </w:p>
        </w:tc>
        <w:tc>
          <w:tcPr>
            <w:tcW w:type="dxa" w:w="2556"/>
            <w:vAlign w:val="center"/>
          </w:tcPr>
          <w:p>
            <w:r>
              <w:rPr>
                <w:sz w:val="16"/>
              </w:rPr>
              <w:t>Met</w:t>
            </w:r>
          </w:p>
        </w:tc>
      </w:tr>
    </w:tbl>
    <w:p>
      <w:pPr>
        <w:pStyle w:val="Heading1"/>
      </w:pPr>
      <w:r>
        <w:t>6. Workstreams &amp; Deliverables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4472C4"/>
          </w:tcPr>
          <w:p>
            <w:r>
              <w:rPr>
                <w:b/>
                <w:color w:val="FFFFFF"/>
                <w:sz w:val="16"/>
              </w:rPr>
              <w:t>Workstream</w:t>
            </w:r>
          </w:p>
        </w:tc>
        <w:tc>
          <w:tcPr>
            <w:tcW w:type="dxa" w:w="3408"/>
            <w:shd w:fill="4472C4"/>
          </w:tcPr>
          <w:p>
            <w:r>
              <w:rPr>
                <w:b/>
                <w:color w:val="FFFFFF"/>
                <w:sz w:val="16"/>
              </w:rPr>
              <w:t>Deliverables</w:t>
            </w:r>
          </w:p>
        </w:tc>
        <w:tc>
          <w:tcPr>
            <w:tcW w:type="dxa" w:w="3408"/>
            <w:shd w:fill="4472C4"/>
          </w:tcPr>
          <w:p>
            <w:r>
              <w:rPr>
                <w:b/>
                <w:color w:val="FFFFFF"/>
                <w:sz w:val="16"/>
              </w:rPr>
              <w:t>Primary Owner</w:t>
            </w:r>
          </w:p>
        </w:tc>
      </w:tr>
      <w:tr>
        <w:tc>
          <w:tcPr>
            <w:tcW w:type="dxa" w:w="3408"/>
            <w:vAlign w:val="center"/>
          </w:tcPr>
          <w:p>
            <w:r>
              <w:rPr>
                <w:sz w:val="16"/>
              </w:rPr>
              <w:t>Governance</w:t>
            </w:r>
          </w:p>
        </w:tc>
        <w:tc>
          <w:tcPr>
            <w:tcW w:type="dxa" w:w="3408"/>
            <w:vAlign w:val="center"/>
          </w:tcPr>
          <w:p>
            <w:r>
              <w:rPr>
                <w:sz w:val="16"/>
              </w:rPr>
              <w:t>Charter, status cadence, decision log, closeout</w:t>
            </w:r>
          </w:p>
        </w:tc>
        <w:tc>
          <w:tcPr>
            <w:tcW w:type="dxa" w:w="3408"/>
            <w:vAlign w:val="center"/>
          </w:tcPr>
          <w:p>
            <w:r>
              <w:rPr>
                <w:sz w:val="16"/>
              </w:rPr>
              <w:t>Project Coordinator</w:t>
            </w:r>
          </w:p>
        </w:tc>
      </w:tr>
      <w:tr>
        <w:tc>
          <w:tcPr>
            <w:tcW w:type="dxa" w:w="3408"/>
            <w:vAlign w:val="center"/>
          </w:tcPr>
          <w:p>
            <w:r>
              <w:rPr>
                <w:sz w:val="16"/>
              </w:rPr>
              <w:t>Process Mapping</w:t>
            </w:r>
          </w:p>
        </w:tc>
        <w:tc>
          <w:tcPr>
            <w:tcW w:type="dxa" w:w="3408"/>
            <w:vAlign w:val="center"/>
          </w:tcPr>
          <w:p>
            <w:r>
              <w:rPr>
                <w:sz w:val="16"/>
              </w:rPr>
              <w:t>As-Is / To-Be maps, bottleneck findings</w:t>
            </w:r>
          </w:p>
        </w:tc>
        <w:tc>
          <w:tcPr>
            <w:tcW w:type="dxa" w:w="3408"/>
            <w:vAlign w:val="center"/>
          </w:tcPr>
          <w:p>
            <w:r>
              <w:rPr>
                <w:sz w:val="16"/>
              </w:rPr>
              <w:t>Business Analyst / Process Lead</w:t>
            </w:r>
          </w:p>
        </w:tc>
      </w:tr>
      <w:tr>
        <w:tc>
          <w:tcPr>
            <w:tcW w:type="dxa" w:w="3408"/>
            <w:vAlign w:val="center"/>
          </w:tcPr>
          <w:p>
            <w:r>
              <w:rPr>
                <w:sz w:val="16"/>
              </w:rPr>
              <w:t>Digital Intake</w:t>
            </w:r>
          </w:p>
        </w:tc>
        <w:tc>
          <w:tcPr>
            <w:tcW w:type="dxa" w:w="3408"/>
            <w:vAlign w:val="center"/>
          </w:tcPr>
          <w:p>
            <w:r>
              <w:rPr>
                <w:sz w:val="16"/>
              </w:rPr>
              <w:t>Form configuration, validation, mapping</w:t>
            </w:r>
          </w:p>
        </w:tc>
        <w:tc>
          <w:tcPr>
            <w:tcW w:type="dxa" w:w="3408"/>
            <w:vAlign w:val="center"/>
          </w:tcPr>
          <w:p>
            <w:r>
              <w:rPr>
                <w:sz w:val="16"/>
              </w:rPr>
              <w:t>IT Applications Lead</w:t>
            </w:r>
          </w:p>
        </w:tc>
      </w:tr>
      <w:tr>
        <w:tc>
          <w:tcPr>
            <w:tcW w:type="dxa" w:w="3408"/>
            <w:vAlign w:val="center"/>
          </w:tcPr>
          <w:p>
            <w:r>
              <w:rPr>
                <w:sz w:val="16"/>
              </w:rPr>
              <w:t>Eligibility</w:t>
            </w:r>
          </w:p>
        </w:tc>
        <w:tc>
          <w:tcPr>
            <w:tcW w:type="dxa" w:w="3408"/>
            <w:vAlign w:val="center"/>
          </w:tcPr>
          <w:p>
            <w:r>
              <w:rPr>
                <w:sz w:val="16"/>
              </w:rPr>
              <w:t>Pre-arrival insurance work queue</w:t>
            </w:r>
          </w:p>
        </w:tc>
        <w:tc>
          <w:tcPr>
            <w:tcW w:type="dxa" w:w="3408"/>
            <w:vAlign w:val="center"/>
          </w:tcPr>
          <w:p>
            <w:r>
              <w:rPr>
                <w:sz w:val="16"/>
              </w:rPr>
              <w:t>Revenue Cycle Lead</w:t>
            </w:r>
          </w:p>
        </w:tc>
      </w:tr>
      <w:tr>
        <w:tc>
          <w:tcPr>
            <w:tcW w:type="dxa" w:w="3408"/>
            <w:vAlign w:val="center"/>
          </w:tcPr>
          <w:p>
            <w:r>
              <w:rPr>
                <w:sz w:val="16"/>
              </w:rPr>
              <w:t>Training</w:t>
            </w:r>
          </w:p>
        </w:tc>
        <w:tc>
          <w:tcPr>
            <w:tcW w:type="dxa" w:w="3408"/>
            <w:vAlign w:val="center"/>
          </w:tcPr>
          <w:p>
            <w:r>
              <w:rPr>
                <w:sz w:val="16"/>
              </w:rPr>
              <w:t>Standard work, job aids, staff sessions</w:t>
            </w:r>
          </w:p>
        </w:tc>
        <w:tc>
          <w:tcPr>
            <w:tcW w:type="dxa" w:w="3408"/>
            <w:vAlign w:val="center"/>
          </w:tcPr>
          <w:p>
            <w:r>
              <w:rPr>
                <w:sz w:val="16"/>
              </w:rPr>
              <w:t>Training Lead</w:t>
            </w:r>
          </w:p>
        </w:tc>
      </w:tr>
      <w:tr>
        <w:tc>
          <w:tcPr>
            <w:tcW w:type="dxa" w:w="3408"/>
            <w:vAlign w:val="center"/>
          </w:tcPr>
          <w:p>
            <w:r>
              <w:rPr>
                <w:sz w:val="16"/>
              </w:rPr>
              <w:t>Pilot &amp; QA</w:t>
            </w:r>
          </w:p>
        </w:tc>
        <w:tc>
          <w:tcPr>
            <w:tcW w:type="dxa" w:w="3408"/>
            <w:vAlign w:val="center"/>
          </w:tcPr>
          <w:p>
            <w:r>
              <w:rPr>
                <w:sz w:val="16"/>
              </w:rPr>
              <w:t>Pilot, defect log, readiness criteria</w:t>
            </w:r>
          </w:p>
        </w:tc>
        <w:tc>
          <w:tcPr>
            <w:tcW w:type="dxa" w:w="3408"/>
            <w:vAlign w:val="center"/>
          </w:tcPr>
          <w:p>
            <w:r>
              <w:rPr>
                <w:sz w:val="16"/>
              </w:rPr>
              <w:t>Project Coordinator / IT Apps</w:t>
            </w:r>
          </w:p>
        </w:tc>
      </w:tr>
      <w:tr>
        <w:tc>
          <w:tcPr>
            <w:tcW w:type="dxa" w:w="3408"/>
            <w:vAlign w:val="center"/>
          </w:tcPr>
          <w:p>
            <w:r>
              <w:rPr>
                <w:sz w:val="16"/>
              </w:rPr>
              <w:t>Rollout</w:t>
            </w:r>
          </w:p>
        </w:tc>
        <w:tc>
          <w:tcPr>
            <w:tcW w:type="dxa" w:w="3408"/>
            <w:vAlign w:val="center"/>
          </w:tcPr>
          <w:p>
            <w:r>
              <w:rPr>
                <w:sz w:val="16"/>
              </w:rPr>
              <w:t>Phased deployment and stabilization</w:t>
            </w:r>
          </w:p>
        </w:tc>
        <w:tc>
          <w:tcPr>
            <w:tcW w:type="dxa" w:w="3408"/>
            <w:vAlign w:val="center"/>
          </w:tcPr>
          <w:p>
            <w:r>
              <w:rPr>
                <w:sz w:val="16"/>
              </w:rPr>
              <w:t>Project Coordinator</w:t>
            </w:r>
          </w:p>
        </w:tc>
      </w:tr>
      <w:tr>
        <w:tc>
          <w:tcPr>
            <w:tcW w:type="dxa" w:w="3408"/>
            <w:vAlign w:val="center"/>
          </w:tcPr>
          <w:p>
            <w:r>
              <w:rPr>
                <w:sz w:val="16"/>
              </w:rPr>
              <w:t>Analytics</w:t>
            </w:r>
          </w:p>
        </w:tc>
        <w:tc>
          <w:tcPr>
            <w:tcW w:type="dxa" w:w="3408"/>
            <w:vAlign w:val="center"/>
          </w:tcPr>
          <w:p>
            <w:r>
              <w:rPr>
                <w:sz w:val="16"/>
              </w:rPr>
              <w:t>Operational KPI dashboard and reporting</w:t>
            </w:r>
          </w:p>
        </w:tc>
        <w:tc>
          <w:tcPr>
            <w:tcW w:type="dxa" w:w="3408"/>
            <w:vAlign w:val="center"/>
          </w:tcPr>
          <w:p>
            <w:r>
              <w:rPr>
                <w:sz w:val="16"/>
              </w:rPr>
              <w:t>Data Analyst / Project Coordinator</w:t>
            </w:r>
          </w:p>
        </w:tc>
      </w:tr>
    </w:tbl>
    <w:p>
      <w:pPr>
        <w:pStyle w:val="Heading1"/>
      </w:pPr>
      <w:r>
        <w:t>7. Governance &amp; RACI</w:t>
      </w:r>
    </w:p>
    <w:p>
      <w:r>
        <w:t>Weekly working-team meetings reviewed tasks, dependencies, RAID, defects, and changes. Pilot-period huddles were held daily for operational exceptions. Executive updates were issued biweekly.</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4472C4"/>
          </w:tcPr>
          <w:p>
            <w:r>
              <w:rPr>
                <w:b/>
                <w:color w:val="FFFFFF"/>
                <w:sz w:val="16"/>
              </w:rPr>
              <w:t>Activity</w:t>
            </w:r>
          </w:p>
        </w:tc>
        <w:tc>
          <w:tcPr>
            <w:tcW w:type="dxa" w:w="1461"/>
            <w:shd w:fill="4472C4"/>
          </w:tcPr>
          <w:p>
            <w:r>
              <w:rPr>
                <w:b/>
                <w:color w:val="FFFFFF"/>
                <w:sz w:val="16"/>
              </w:rPr>
              <w:t>Sponsor</w:t>
            </w:r>
          </w:p>
        </w:tc>
        <w:tc>
          <w:tcPr>
            <w:tcW w:type="dxa" w:w="1461"/>
            <w:shd w:fill="4472C4"/>
          </w:tcPr>
          <w:p>
            <w:r>
              <w:rPr>
                <w:b/>
                <w:color w:val="FFFFFF"/>
                <w:sz w:val="16"/>
              </w:rPr>
              <w:t>Project Coord.</w:t>
            </w:r>
          </w:p>
        </w:tc>
        <w:tc>
          <w:tcPr>
            <w:tcW w:type="dxa" w:w="1461"/>
            <w:shd w:fill="4472C4"/>
          </w:tcPr>
          <w:p>
            <w:r>
              <w:rPr>
                <w:b/>
                <w:color w:val="FFFFFF"/>
                <w:sz w:val="16"/>
              </w:rPr>
              <w:t>Registration</w:t>
            </w:r>
          </w:p>
        </w:tc>
        <w:tc>
          <w:tcPr>
            <w:tcW w:type="dxa" w:w="1461"/>
            <w:shd w:fill="4472C4"/>
          </w:tcPr>
          <w:p>
            <w:r>
              <w:rPr>
                <w:b/>
                <w:color w:val="FFFFFF"/>
                <w:sz w:val="16"/>
              </w:rPr>
              <w:t>Revenue Cycle</w:t>
            </w:r>
          </w:p>
        </w:tc>
        <w:tc>
          <w:tcPr>
            <w:tcW w:type="dxa" w:w="1461"/>
            <w:shd w:fill="4472C4"/>
          </w:tcPr>
          <w:p>
            <w:r>
              <w:rPr>
                <w:b/>
                <w:color w:val="FFFFFF"/>
                <w:sz w:val="16"/>
              </w:rPr>
              <w:t>Nursing</w:t>
            </w:r>
          </w:p>
        </w:tc>
        <w:tc>
          <w:tcPr>
            <w:tcW w:type="dxa" w:w="1461"/>
            <w:shd w:fill="4472C4"/>
          </w:tcPr>
          <w:p>
            <w:r>
              <w:rPr>
                <w:b/>
                <w:color w:val="FFFFFF"/>
                <w:sz w:val="16"/>
              </w:rPr>
              <w:t>IT Apps</w:t>
            </w:r>
          </w:p>
        </w:tc>
      </w:tr>
      <w:tr>
        <w:tc>
          <w:tcPr>
            <w:tcW w:type="dxa" w:w="1461"/>
            <w:vAlign w:val="center"/>
          </w:tcPr>
          <w:p>
            <w:r>
              <w:rPr>
                <w:sz w:val="16"/>
              </w:rPr>
              <w:t>Charter</w:t>
            </w:r>
          </w:p>
        </w:tc>
        <w:tc>
          <w:tcPr>
            <w:tcW w:type="dxa" w:w="1461"/>
            <w:vAlign w:val="center"/>
          </w:tcPr>
          <w:p>
            <w:r>
              <w:rPr>
                <w:sz w:val="16"/>
              </w:rPr>
              <w:t>A</w:t>
            </w:r>
          </w:p>
        </w:tc>
        <w:tc>
          <w:tcPr>
            <w:tcW w:type="dxa" w:w="1461"/>
            <w:vAlign w:val="center"/>
          </w:tcPr>
          <w:p>
            <w:r>
              <w:rPr>
                <w:sz w:val="16"/>
              </w:rPr>
              <w:t>R</w:t>
            </w:r>
          </w:p>
        </w:tc>
        <w:tc>
          <w:tcPr>
            <w:tcW w:type="dxa" w:w="1461"/>
            <w:vAlign w:val="center"/>
          </w:tcPr>
          <w:p>
            <w:r>
              <w:rPr>
                <w:sz w:val="16"/>
              </w:rPr>
              <w:t>C</w:t>
            </w:r>
          </w:p>
        </w:tc>
        <w:tc>
          <w:tcPr>
            <w:tcW w:type="dxa" w:w="1461"/>
            <w:vAlign w:val="center"/>
          </w:tcPr>
          <w:p>
            <w:r>
              <w:rPr>
                <w:sz w:val="16"/>
              </w:rPr>
              <w:t>C</w:t>
            </w:r>
          </w:p>
        </w:tc>
        <w:tc>
          <w:tcPr>
            <w:tcW w:type="dxa" w:w="1461"/>
            <w:vAlign w:val="center"/>
          </w:tcPr>
          <w:p>
            <w:r>
              <w:rPr>
                <w:sz w:val="16"/>
              </w:rPr>
              <w:t>C</w:t>
            </w:r>
          </w:p>
        </w:tc>
        <w:tc>
          <w:tcPr>
            <w:tcW w:type="dxa" w:w="1461"/>
            <w:vAlign w:val="center"/>
          </w:tcPr>
          <w:p>
            <w:r>
              <w:rPr>
                <w:sz w:val="16"/>
              </w:rPr>
              <w:t>I</w:t>
            </w:r>
          </w:p>
        </w:tc>
      </w:tr>
      <w:tr>
        <w:tc>
          <w:tcPr>
            <w:tcW w:type="dxa" w:w="1461"/>
            <w:vAlign w:val="center"/>
          </w:tcPr>
          <w:p>
            <w:r>
              <w:rPr>
                <w:sz w:val="16"/>
              </w:rPr>
              <w:t>As-Is mapping</w:t>
            </w:r>
          </w:p>
        </w:tc>
        <w:tc>
          <w:tcPr>
            <w:tcW w:type="dxa" w:w="1461"/>
            <w:vAlign w:val="center"/>
          </w:tcPr>
          <w:p>
            <w:r>
              <w:rPr>
                <w:sz w:val="16"/>
              </w:rPr>
              <w:t>I</w:t>
            </w:r>
          </w:p>
        </w:tc>
        <w:tc>
          <w:tcPr>
            <w:tcW w:type="dxa" w:w="1461"/>
            <w:vAlign w:val="center"/>
          </w:tcPr>
          <w:p>
            <w:r>
              <w:rPr>
                <w:sz w:val="16"/>
              </w:rPr>
              <w:t>C</w:t>
            </w:r>
          </w:p>
        </w:tc>
        <w:tc>
          <w:tcPr>
            <w:tcW w:type="dxa" w:w="1461"/>
            <w:vAlign w:val="center"/>
          </w:tcPr>
          <w:p>
            <w:r>
              <w:rPr>
                <w:sz w:val="16"/>
              </w:rPr>
              <w:t>R</w:t>
            </w:r>
          </w:p>
        </w:tc>
        <w:tc>
          <w:tcPr>
            <w:tcW w:type="dxa" w:w="1461"/>
            <w:vAlign w:val="center"/>
          </w:tcPr>
          <w:p>
            <w:r>
              <w:rPr>
                <w:sz w:val="16"/>
              </w:rPr>
              <w:t>R</w:t>
            </w:r>
          </w:p>
        </w:tc>
        <w:tc>
          <w:tcPr>
            <w:tcW w:type="dxa" w:w="1461"/>
            <w:vAlign w:val="center"/>
          </w:tcPr>
          <w:p>
            <w:r>
              <w:rPr>
                <w:sz w:val="16"/>
              </w:rPr>
              <w:t>R</w:t>
            </w:r>
          </w:p>
        </w:tc>
        <w:tc>
          <w:tcPr>
            <w:tcW w:type="dxa" w:w="1461"/>
            <w:vAlign w:val="center"/>
          </w:tcPr>
          <w:p>
            <w:r>
              <w:rPr>
                <w:sz w:val="16"/>
              </w:rPr>
              <w:t>C</w:t>
            </w:r>
          </w:p>
        </w:tc>
      </w:tr>
      <w:tr>
        <w:tc>
          <w:tcPr>
            <w:tcW w:type="dxa" w:w="1461"/>
            <w:vAlign w:val="center"/>
          </w:tcPr>
          <w:p>
            <w:r>
              <w:rPr>
                <w:sz w:val="16"/>
              </w:rPr>
              <w:t>To-Be design</w:t>
            </w:r>
          </w:p>
        </w:tc>
        <w:tc>
          <w:tcPr>
            <w:tcW w:type="dxa" w:w="1461"/>
            <w:vAlign w:val="center"/>
          </w:tcPr>
          <w:p>
            <w:r>
              <w:rPr>
                <w:sz w:val="16"/>
              </w:rPr>
              <w:t>I</w:t>
            </w:r>
          </w:p>
        </w:tc>
        <w:tc>
          <w:tcPr>
            <w:tcW w:type="dxa" w:w="1461"/>
            <w:vAlign w:val="center"/>
          </w:tcPr>
          <w:p>
            <w:r>
              <w:rPr>
                <w:sz w:val="16"/>
              </w:rPr>
              <w:t>R</w:t>
            </w:r>
          </w:p>
        </w:tc>
        <w:tc>
          <w:tcPr>
            <w:tcW w:type="dxa" w:w="1461"/>
            <w:vAlign w:val="center"/>
          </w:tcPr>
          <w:p>
            <w:r>
              <w:rPr>
                <w:sz w:val="16"/>
              </w:rPr>
              <w:t>C</w:t>
            </w:r>
          </w:p>
        </w:tc>
        <w:tc>
          <w:tcPr>
            <w:tcW w:type="dxa" w:w="1461"/>
            <w:vAlign w:val="center"/>
          </w:tcPr>
          <w:p>
            <w:r>
              <w:rPr>
                <w:sz w:val="16"/>
              </w:rPr>
              <w:t>C</w:t>
            </w:r>
          </w:p>
        </w:tc>
        <w:tc>
          <w:tcPr>
            <w:tcW w:type="dxa" w:w="1461"/>
            <w:vAlign w:val="center"/>
          </w:tcPr>
          <w:p>
            <w:r>
              <w:rPr>
                <w:sz w:val="16"/>
              </w:rPr>
              <w:t>C</w:t>
            </w:r>
          </w:p>
        </w:tc>
        <w:tc>
          <w:tcPr>
            <w:tcW w:type="dxa" w:w="1461"/>
            <w:vAlign w:val="center"/>
          </w:tcPr>
          <w:p>
            <w:r>
              <w:rPr>
                <w:sz w:val="16"/>
              </w:rPr>
              <w:t>C</w:t>
            </w:r>
          </w:p>
        </w:tc>
      </w:tr>
      <w:tr>
        <w:tc>
          <w:tcPr>
            <w:tcW w:type="dxa" w:w="1461"/>
            <w:vAlign w:val="center"/>
          </w:tcPr>
          <w:p>
            <w:r>
              <w:rPr>
                <w:sz w:val="16"/>
              </w:rPr>
              <w:t>Digital configuration</w:t>
            </w:r>
          </w:p>
        </w:tc>
        <w:tc>
          <w:tcPr>
            <w:tcW w:type="dxa" w:w="1461"/>
            <w:vAlign w:val="center"/>
          </w:tcPr>
          <w:p>
            <w:r>
              <w:rPr>
                <w:sz w:val="16"/>
              </w:rPr>
              <w:t>I</w:t>
            </w:r>
          </w:p>
        </w:tc>
        <w:tc>
          <w:tcPr>
            <w:tcW w:type="dxa" w:w="1461"/>
            <w:vAlign w:val="center"/>
          </w:tcPr>
          <w:p>
            <w:r>
              <w:rPr>
                <w:sz w:val="16"/>
              </w:rPr>
              <w:t>C</w:t>
            </w:r>
          </w:p>
        </w:tc>
        <w:tc>
          <w:tcPr>
            <w:tcW w:type="dxa" w:w="1461"/>
            <w:vAlign w:val="center"/>
          </w:tcPr>
          <w:p>
            <w:r>
              <w:rPr>
                <w:sz w:val="16"/>
              </w:rPr>
              <w:t>C</w:t>
            </w:r>
          </w:p>
        </w:tc>
        <w:tc>
          <w:tcPr>
            <w:tcW w:type="dxa" w:w="1461"/>
            <w:vAlign w:val="center"/>
          </w:tcPr>
          <w:p>
            <w:r>
              <w:rPr>
                <w:sz w:val="16"/>
              </w:rPr>
              <w:t>I</w:t>
            </w:r>
          </w:p>
        </w:tc>
        <w:tc>
          <w:tcPr>
            <w:tcW w:type="dxa" w:w="1461"/>
            <w:vAlign w:val="center"/>
          </w:tcPr>
          <w:p>
            <w:r>
              <w:rPr>
                <w:sz w:val="16"/>
              </w:rPr>
              <w:t>I</w:t>
            </w:r>
          </w:p>
        </w:tc>
        <w:tc>
          <w:tcPr>
            <w:tcW w:type="dxa" w:w="1461"/>
            <w:vAlign w:val="center"/>
          </w:tcPr>
          <w:p>
            <w:r>
              <w:rPr>
                <w:sz w:val="16"/>
              </w:rPr>
              <w:t>A/R</w:t>
            </w:r>
          </w:p>
        </w:tc>
      </w:tr>
      <w:tr>
        <w:tc>
          <w:tcPr>
            <w:tcW w:type="dxa" w:w="1461"/>
            <w:vAlign w:val="center"/>
          </w:tcPr>
          <w:p>
            <w:r>
              <w:rPr>
                <w:sz w:val="16"/>
              </w:rPr>
              <w:t>Eligibility redesign</w:t>
            </w:r>
          </w:p>
        </w:tc>
        <w:tc>
          <w:tcPr>
            <w:tcW w:type="dxa" w:w="1461"/>
            <w:vAlign w:val="center"/>
          </w:tcPr>
          <w:p>
            <w:r>
              <w:rPr>
                <w:sz w:val="16"/>
              </w:rPr>
              <w:t>I</w:t>
            </w:r>
          </w:p>
        </w:tc>
        <w:tc>
          <w:tcPr>
            <w:tcW w:type="dxa" w:w="1461"/>
            <w:vAlign w:val="center"/>
          </w:tcPr>
          <w:p>
            <w:r>
              <w:rPr>
                <w:sz w:val="16"/>
              </w:rPr>
              <w:t>C</w:t>
            </w:r>
          </w:p>
        </w:tc>
        <w:tc>
          <w:tcPr>
            <w:tcW w:type="dxa" w:w="1461"/>
            <w:vAlign w:val="center"/>
          </w:tcPr>
          <w:p>
            <w:r>
              <w:rPr>
                <w:sz w:val="16"/>
              </w:rPr>
              <w:t>C</w:t>
            </w:r>
          </w:p>
        </w:tc>
        <w:tc>
          <w:tcPr>
            <w:tcW w:type="dxa" w:w="1461"/>
            <w:vAlign w:val="center"/>
          </w:tcPr>
          <w:p>
            <w:r>
              <w:rPr>
                <w:sz w:val="16"/>
              </w:rPr>
              <w:t>A/R</w:t>
            </w:r>
          </w:p>
        </w:tc>
        <w:tc>
          <w:tcPr>
            <w:tcW w:type="dxa" w:w="1461"/>
            <w:vAlign w:val="center"/>
          </w:tcPr>
          <w:p>
            <w:r>
              <w:rPr>
                <w:sz w:val="16"/>
              </w:rPr>
              <w:t>I</w:t>
            </w:r>
          </w:p>
        </w:tc>
        <w:tc>
          <w:tcPr>
            <w:tcW w:type="dxa" w:w="1461"/>
            <w:vAlign w:val="center"/>
          </w:tcPr>
          <w:p>
            <w:r>
              <w:rPr>
                <w:sz w:val="16"/>
              </w:rPr>
              <w:t>C</w:t>
            </w:r>
          </w:p>
        </w:tc>
      </w:tr>
      <w:tr>
        <w:tc>
          <w:tcPr>
            <w:tcW w:type="dxa" w:w="1461"/>
            <w:vAlign w:val="center"/>
          </w:tcPr>
          <w:p>
            <w:r>
              <w:rPr>
                <w:sz w:val="16"/>
              </w:rPr>
              <w:t>Pilot</w:t>
            </w:r>
          </w:p>
        </w:tc>
        <w:tc>
          <w:tcPr>
            <w:tcW w:type="dxa" w:w="1461"/>
            <w:vAlign w:val="center"/>
          </w:tcPr>
          <w:p>
            <w:r>
              <w:rPr>
                <w:sz w:val="16"/>
              </w:rPr>
              <w:t>I</w:t>
            </w:r>
          </w:p>
        </w:tc>
        <w:tc>
          <w:tcPr>
            <w:tcW w:type="dxa" w:w="1461"/>
            <w:vAlign w:val="center"/>
          </w:tcPr>
          <w:p>
            <w:r>
              <w:rPr>
                <w:sz w:val="16"/>
              </w:rPr>
              <w:t>A/R</w:t>
            </w:r>
          </w:p>
        </w:tc>
        <w:tc>
          <w:tcPr>
            <w:tcW w:type="dxa" w:w="1461"/>
            <w:vAlign w:val="center"/>
          </w:tcPr>
          <w:p>
            <w:r>
              <w:rPr>
                <w:sz w:val="16"/>
              </w:rPr>
              <w:t>R</w:t>
            </w:r>
          </w:p>
        </w:tc>
        <w:tc>
          <w:tcPr>
            <w:tcW w:type="dxa" w:w="1461"/>
            <w:vAlign w:val="center"/>
          </w:tcPr>
          <w:p>
            <w:r>
              <w:rPr>
                <w:sz w:val="16"/>
              </w:rPr>
              <w:t>R</w:t>
            </w:r>
          </w:p>
        </w:tc>
        <w:tc>
          <w:tcPr>
            <w:tcW w:type="dxa" w:w="1461"/>
            <w:vAlign w:val="center"/>
          </w:tcPr>
          <w:p>
            <w:r>
              <w:rPr>
                <w:sz w:val="16"/>
              </w:rPr>
              <w:t>R</w:t>
            </w:r>
          </w:p>
        </w:tc>
        <w:tc>
          <w:tcPr>
            <w:tcW w:type="dxa" w:w="1461"/>
            <w:vAlign w:val="center"/>
          </w:tcPr>
          <w:p>
            <w:r>
              <w:rPr>
                <w:sz w:val="16"/>
              </w:rPr>
              <w:t>R</w:t>
            </w:r>
          </w:p>
        </w:tc>
      </w:tr>
      <w:tr>
        <w:tc>
          <w:tcPr>
            <w:tcW w:type="dxa" w:w="1461"/>
            <w:vAlign w:val="center"/>
          </w:tcPr>
          <w:p>
            <w:r>
              <w:rPr>
                <w:sz w:val="16"/>
              </w:rPr>
              <w:t>Full rollout</w:t>
            </w:r>
          </w:p>
        </w:tc>
        <w:tc>
          <w:tcPr>
            <w:tcW w:type="dxa" w:w="1461"/>
            <w:vAlign w:val="center"/>
          </w:tcPr>
          <w:p>
            <w:r>
              <w:rPr>
                <w:sz w:val="16"/>
              </w:rPr>
              <w:t>I</w:t>
            </w:r>
          </w:p>
        </w:tc>
        <w:tc>
          <w:tcPr>
            <w:tcW w:type="dxa" w:w="1461"/>
            <w:vAlign w:val="center"/>
          </w:tcPr>
          <w:p>
            <w:r>
              <w:rPr>
                <w:sz w:val="16"/>
              </w:rPr>
              <w:t>A/R</w:t>
            </w:r>
          </w:p>
        </w:tc>
        <w:tc>
          <w:tcPr>
            <w:tcW w:type="dxa" w:w="1461"/>
            <w:vAlign w:val="center"/>
          </w:tcPr>
          <w:p>
            <w:r>
              <w:rPr>
                <w:sz w:val="16"/>
              </w:rPr>
              <w:t>R</w:t>
            </w:r>
          </w:p>
        </w:tc>
        <w:tc>
          <w:tcPr>
            <w:tcW w:type="dxa" w:w="1461"/>
            <w:vAlign w:val="center"/>
          </w:tcPr>
          <w:p>
            <w:r>
              <w:rPr>
                <w:sz w:val="16"/>
              </w:rPr>
              <w:t>R</w:t>
            </w:r>
          </w:p>
        </w:tc>
        <w:tc>
          <w:tcPr>
            <w:tcW w:type="dxa" w:w="1461"/>
            <w:vAlign w:val="center"/>
          </w:tcPr>
          <w:p>
            <w:r>
              <w:rPr>
                <w:sz w:val="16"/>
              </w:rPr>
              <w:t>R</w:t>
            </w:r>
          </w:p>
        </w:tc>
        <w:tc>
          <w:tcPr>
            <w:tcW w:type="dxa" w:w="1461"/>
            <w:vAlign w:val="center"/>
          </w:tcPr>
          <w:p>
            <w:r>
              <w:rPr>
                <w:sz w:val="16"/>
              </w:rPr>
              <w:t>R</w:t>
            </w:r>
          </w:p>
        </w:tc>
      </w:tr>
      <w:tr>
        <w:tc>
          <w:tcPr>
            <w:tcW w:type="dxa" w:w="1461"/>
            <w:vAlign w:val="center"/>
          </w:tcPr>
          <w:p>
            <w:r>
              <w:rPr>
                <w:sz w:val="16"/>
              </w:rPr>
              <w:t>KPI reporting</w:t>
            </w:r>
          </w:p>
        </w:tc>
        <w:tc>
          <w:tcPr>
            <w:tcW w:type="dxa" w:w="1461"/>
            <w:vAlign w:val="center"/>
          </w:tcPr>
          <w:p>
            <w:r>
              <w:rPr>
                <w:sz w:val="16"/>
              </w:rPr>
              <w:t>I</w:t>
            </w:r>
          </w:p>
        </w:tc>
        <w:tc>
          <w:tcPr>
            <w:tcW w:type="dxa" w:w="1461"/>
            <w:vAlign w:val="center"/>
          </w:tcPr>
          <w:p>
            <w:r>
              <w:rPr>
                <w:sz w:val="16"/>
              </w:rPr>
              <w:t>A/R</w:t>
            </w:r>
          </w:p>
        </w:tc>
        <w:tc>
          <w:tcPr>
            <w:tcW w:type="dxa" w:w="1461"/>
            <w:vAlign w:val="center"/>
          </w:tcPr>
          <w:p>
            <w:r>
              <w:rPr>
                <w:sz w:val="16"/>
              </w:rPr>
              <w:t>C</w:t>
            </w:r>
          </w:p>
        </w:tc>
        <w:tc>
          <w:tcPr>
            <w:tcW w:type="dxa" w:w="1461"/>
            <w:vAlign w:val="center"/>
          </w:tcPr>
          <w:p>
            <w:r>
              <w:rPr>
                <w:sz w:val="16"/>
              </w:rPr>
              <w:t>C</w:t>
            </w:r>
          </w:p>
        </w:tc>
        <w:tc>
          <w:tcPr>
            <w:tcW w:type="dxa" w:w="1461"/>
            <w:vAlign w:val="center"/>
          </w:tcPr>
          <w:p>
            <w:r>
              <w:rPr>
                <w:sz w:val="16"/>
              </w:rPr>
              <w:t>C</w:t>
            </w:r>
          </w:p>
        </w:tc>
        <w:tc>
          <w:tcPr>
            <w:tcW w:type="dxa" w:w="1461"/>
            <w:vAlign w:val="center"/>
          </w:tcPr>
          <w:p>
            <w:r>
              <w:rPr>
                <w:sz w:val="16"/>
              </w:rPr>
              <w:t>C</w:t>
            </w:r>
          </w:p>
        </w:tc>
      </w:tr>
    </w:tbl>
    <w:p>
      <w:pPr>
        <w:pStyle w:val="Heading1"/>
      </w:pPr>
      <w:r>
        <w:t>8. Schedule &amp; Milestones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4472C4"/>
          </w:tcPr>
          <w:p>
            <w:r>
              <w:rPr>
                <w:b/>
                <w:color w:val="FFFFFF"/>
                <w:sz w:val="16"/>
              </w:rPr>
              <w:t>Milestone</w:t>
            </w:r>
          </w:p>
        </w:tc>
        <w:tc>
          <w:tcPr>
            <w:tcW w:type="dxa" w:w="2556"/>
            <w:shd w:fill="4472C4"/>
          </w:tcPr>
          <w:p>
            <w:r>
              <w:rPr>
                <w:b/>
                <w:color w:val="FFFFFF"/>
                <w:sz w:val="16"/>
              </w:rPr>
              <w:t>Baseline</w:t>
            </w:r>
          </w:p>
        </w:tc>
        <w:tc>
          <w:tcPr>
            <w:tcW w:type="dxa" w:w="2556"/>
            <w:shd w:fill="4472C4"/>
          </w:tcPr>
          <w:p>
            <w:r>
              <w:rPr>
                <w:b/>
                <w:color w:val="FFFFFF"/>
                <w:sz w:val="16"/>
              </w:rPr>
              <w:t>Actual</w:t>
            </w:r>
          </w:p>
        </w:tc>
        <w:tc>
          <w:tcPr>
            <w:tcW w:type="dxa" w:w="2556"/>
            <w:shd w:fill="4472C4"/>
          </w:tcPr>
          <w:p>
            <w:r>
              <w:rPr>
                <w:b/>
                <w:color w:val="FFFFFF"/>
                <w:sz w:val="16"/>
              </w:rPr>
              <w:t>Variance</w:t>
            </w:r>
          </w:p>
        </w:tc>
      </w:tr>
      <w:tr>
        <w:tc>
          <w:tcPr>
            <w:tcW w:type="dxa" w:w="2556"/>
            <w:vAlign w:val="center"/>
          </w:tcPr>
          <w:p>
            <w:r>
              <w:rPr>
                <w:sz w:val="16"/>
              </w:rPr>
              <w:t>Charter Approved</w:t>
            </w:r>
          </w:p>
        </w:tc>
        <w:tc>
          <w:tcPr>
            <w:tcW w:type="dxa" w:w="2556"/>
            <w:vAlign w:val="center"/>
          </w:tcPr>
          <w:p>
            <w:r>
              <w:rPr>
                <w:sz w:val="16"/>
              </w:rPr>
              <w:t>Feb 4, 2026</w:t>
            </w:r>
          </w:p>
        </w:tc>
        <w:tc>
          <w:tcPr>
            <w:tcW w:type="dxa" w:w="2556"/>
            <w:vAlign w:val="center"/>
          </w:tcPr>
          <w:p>
            <w:r>
              <w:rPr>
                <w:sz w:val="16"/>
              </w:rPr>
              <w:t>Feb 4, 2026</w:t>
            </w:r>
          </w:p>
        </w:tc>
        <w:tc>
          <w:tcPr>
            <w:tcW w:type="dxa" w:w="2556"/>
            <w:vAlign w:val="center"/>
          </w:tcPr>
          <w:p>
            <w:r>
              <w:rPr>
                <w:sz w:val="16"/>
              </w:rPr>
              <w:t>0 days</w:t>
            </w:r>
          </w:p>
        </w:tc>
      </w:tr>
      <w:tr>
        <w:tc>
          <w:tcPr>
            <w:tcW w:type="dxa" w:w="2556"/>
            <w:vAlign w:val="center"/>
          </w:tcPr>
          <w:p>
            <w:r>
              <w:rPr>
                <w:sz w:val="16"/>
              </w:rPr>
              <w:t>As-Is Mapping Complete</w:t>
            </w:r>
          </w:p>
        </w:tc>
        <w:tc>
          <w:tcPr>
            <w:tcW w:type="dxa" w:w="2556"/>
            <w:vAlign w:val="center"/>
          </w:tcPr>
          <w:p>
            <w:r>
              <w:rPr>
                <w:sz w:val="16"/>
              </w:rPr>
              <w:t>Feb 9, 2026</w:t>
            </w:r>
          </w:p>
        </w:tc>
        <w:tc>
          <w:tcPr>
            <w:tcW w:type="dxa" w:w="2556"/>
            <w:vAlign w:val="center"/>
          </w:tcPr>
          <w:p>
            <w:r>
              <w:rPr>
                <w:sz w:val="16"/>
              </w:rPr>
              <w:t>Feb 9, 2026</w:t>
            </w:r>
          </w:p>
        </w:tc>
        <w:tc>
          <w:tcPr>
            <w:tcW w:type="dxa" w:w="2556"/>
            <w:vAlign w:val="center"/>
          </w:tcPr>
          <w:p>
            <w:r>
              <w:rPr>
                <w:sz w:val="16"/>
              </w:rPr>
              <w:t>0 days</w:t>
            </w:r>
          </w:p>
        </w:tc>
      </w:tr>
      <w:tr>
        <w:tc>
          <w:tcPr>
            <w:tcW w:type="dxa" w:w="2556"/>
            <w:vAlign w:val="center"/>
          </w:tcPr>
          <w:p>
            <w:r>
              <w:rPr>
                <w:sz w:val="16"/>
              </w:rPr>
              <w:t>To-Be Design Approved</w:t>
            </w:r>
          </w:p>
        </w:tc>
        <w:tc>
          <w:tcPr>
            <w:tcW w:type="dxa" w:w="2556"/>
            <w:vAlign w:val="center"/>
          </w:tcPr>
          <w:p>
            <w:r>
              <w:rPr>
                <w:sz w:val="16"/>
              </w:rPr>
              <w:t>Feb 17, 2026</w:t>
            </w:r>
          </w:p>
        </w:tc>
        <w:tc>
          <w:tcPr>
            <w:tcW w:type="dxa" w:w="2556"/>
            <w:vAlign w:val="center"/>
          </w:tcPr>
          <w:p>
            <w:r>
              <w:rPr>
                <w:sz w:val="16"/>
              </w:rPr>
              <w:t>Feb 18, 2026</w:t>
            </w:r>
          </w:p>
        </w:tc>
        <w:tc>
          <w:tcPr>
            <w:tcW w:type="dxa" w:w="2556"/>
            <w:vAlign w:val="center"/>
          </w:tcPr>
          <w:p>
            <w:r>
              <w:rPr>
                <w:sz w:val="16"/>
              </w:rPr>
              <w:t>+1 day</w:t>
            </w:r>
          </w:p>
        </w:tc>
      </w:tr>
      <w:tr>
        <w:tc>
          <w:tcPr>
            <w:tcW w:type="dxa" w:w="2556"/>
            <w:vAlign w:val="center"/>
          </w:tcPr>
          <w:p>
            <w:r>
              <w:rPr>
                <w:sz w:val="16"/>
              </w:rPr>
              <w:t>Pilot Ready</w:t>
            </w:r>
          </w:p>
        </w:tc>
        <w:tc>
          <w:tcPr>
            <w:tcW w:type="dxa" w:w="2556"/>
            <w:vAlign w:val="center"/>
          </w:tcPr>
          <w:p>
            <w:r>
              <w:rPr>
                <w:sz w:val="16"/>
              </w:rPr>
              <w:t>Mar 7, 2026</w:t>
            </w:r>
          </w:p>
        </w:tc>
        <w:tc>
          <w:tcPr>
            <w:tcW w:type="dxa" w:w="2556"/>
            <w:vAlign w:val="center"/>
          </w:tcPr>
          <w:p>
            <w:r>
              <w:rPr>
                <w:sz w:val="16"/>
              </w:rPr>
              <w:t>Mar 6, 2026</w:t>
            </w:r>
          </w:p>
        </w:tc>
        <w:tc>
          <w:tcPr>
            <w:tcW w:type="dxa" w:w="2556"/>
            <w:vAlign w:val="center"/>
          </w:tcPr>
          <w:p>
            <w:r>
              <w:rPr>
                <w:sz w:val="16"/>
              </w:rPr>
              <w:t>-1 day</w:t>
            </w:r>
          </w:p>
        </w:tc>
      </w:tr>
      <w:tr>
        <w:tc>
          <w:tcPr>
            <w:tcW w:type="dxa" w:w="2556"/>
            <w:vAlign w:val="center"/>
          </w:tcPr>
          <w:p>
            <w:r>
              <w:rPr>
                <w:sz w:val="16"/>
              </w:rPr>
              <w:t>Pilot Exit</w:t>
            </w:r>
          </w:p>
        </w:tc>
        <w:tc>
          <w:tcPr>
            <w:tcW w:type="dxa" w:w="2556"/>
            <w:vAlign w:val="center"/>
          </w:tcPr>
          <w:p>
            <w:r>
              <w:rPr>
                <w:sz w:val="16"/>
              </w:rPr>
              <w:t>Mar 18, 2026</w:t>
            </w:r>
          </w:p>
        </w:tc>
        <w:tc>
          <w:tcPr>
            <w:tcW w:type="dxa" w:w="2556"/>
            <w:vAlign w:val="center"/>
          </w:tcPr>
          <w:p>
            <w:r>
              <w:rPr>
                <w:sz w:val="16"/>
              </w:rPr>
              <w:t>Mar 18, 2026</w:t>
            </w:r>
          </w:p>
        </w:tc>
        <w:tc>
          <w:tcPr>
            <w:tcW w:type="dxa" w:w="2556"/>
            <w:vAlign w:val="center"/>
          </w:tcPr>
          <w:p>
            <w:r>
              <w:rPr>
                <w:sz w:val="16"/>
              </w:rPr>
              <w:t>0 days</w:t>
            </w:r>
          </w:p>
        </w:tc>
      </w:tr>
      <w:tr>
        <w:tc>
          <w:tcPr>
            <w:tcW w:type="dxa" w:w="2556"/>
            <w:vAlign w:val="center"/>
          </w:tcPr>
          <w:p>
            <w:r>
              <w:rPr>
                <w:sz w:val="16"/>
              </w:rPr>
              <w:t>Full Rollout Complete</w:t>
            </w:r>
          </w:p>
        </w:tc>
        <w:tc>
          <w:tcPr>
            <w:tcW w:type="dxa" w:w="2556"/>
            <w:vAlign w:val="center"/>
          </w:tcPr>
          <w:p>
            <w:r>
              <w:rPr>
                <w:sz w:val="16"/>
              </w:rPr>
              <w:t>Mar 29, 2026</w:t>
            </w:r>
          </w:p>
        </w:tc>
        <w:tc>
          <w:tcPr>
            <w:tcW w:type="dxa" w:w="2556"/>
            <w:vAlign w:val="center"/>
          </w:tcPr>
          <w:p>
            <w:r>
              <w:rPr>
                <w:sz w:val="16"/>
              </w:rPr>
              <w:t>Mar 29, 2026</w:t>
            </w:r>
          </w:p>
        </w:tc>
        <w:tc>
          <w:tcPr>
            <w:tcW w:type="dxa" w:w="2556"/>
            <w:vAlign w:val="center"/>
          </w:tcPr>
          <w:p>
            <w:r>
              <w:rPr>
                <w:sz w:val="16"/>
              </w:rPr>
              <w:t>0 days</w:t>
            </w:r>
          </w:p>
        </w:tc>
      </w:tr>
      <w:tr>
        <w:tc>
          <w:tcPr>
            <w:tcW w:type="dxa" w:w="2556"/>
            <w:vAlign w:val="center"/>
          </w:tcPr>
          <w:p>
            <w:r>
              <w:rPr>
                <w:sz w:val="16"/>
              </w:rPr>
              <w:t>Executive Closeout</w:t>
            </w:r>
          </w:p>
        </w:tc>
        <w:tc>
          <w:tcPr>
            <w:tcW w:type="dxa" w:w="2556"/>
            <w:vAlign w:val="center"/>
          </w:tcPr>
          <w:p>
            <w:r>
              <w:rPr>
                <w:sz w:val="16"/>
              </w:rPr>
              <w:t>Apr 13, 2026</w:t>
            </w:r>
          </w:p>
        </w:tc>
        <w:tc>
          <w:tcPr>
            <w:tcW w:type="dxa" w:w="2556"/>
            <w:vAlign w:val="center"/>
          </w:tcPr>
          <w:p>
            <w:r>
              <w:rPr>
                <w:sz w:val="16"/>
              </w:rPr>
              <w:t>Apr 13, 2026</w:t>
            </w:r>
          </w:p>
        </w:tc>
        <w:tc>
          <w:tcPr>
            <w:tcW w:type="dxa" w:w="2556"/>
            <w:vAlign w:val="center"/>
          </w:tcPr>
          <w:p>
            <w:r>
              <w:rPr>
                <w:sz w:val="16"/>
              </w:rPr>
              <w:t>0 days</w:t>
            </w:r>
          </w:p>
        </w:tc>
      </w:tr>
    </w:tbl>
    <w:p>
      <w:pPr>
        <w:pStyle w:val="Heading1"/>
      </w:pPr>
      <w:r>
        <w:t>9. Risk &amp; Issue Management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4472C4"/>
          </w:tcPr>
          <w:p>
            <w:r>
              <w:rPr>
                <w:b/>
                <w:color w:val="FFFFFF"/>
                <w:sz w:val="16"/>
              </w:rPr>
              <w:t>ID</w:t>
            </w:r>
          </w:p>
        </w:tc>
        <w:tc>
          <w:tcPr>
            <w:tcW w:type="dxa" w:w="2045"/>
            <w:shd w:fill="4472C4"/>
          </w:tcPr>
          <w:p>
            <w:r>
              <w:rPr>
                <w:b/>
                <w:color w:val="FFFFFF"/>
                <w:sz w:val="16"/>
              </w:rPr>
              <w:t>Item</w:t>
            </w:r>
          </w:p>
        </w:tc>
        <w:tc>
          <w:tcPr>
            <w:tcW w:type="dxa" w:w="2045"/>
            <w:shd w:fill="4472C4"/>
          </w:tcPr>
          <w:p>
            <w:r>
              <w:rPr>
                <w:b/>
                <w:color w:val="FFFFFF"/>
                <w:sz w:val="16"/>
              </w:rPr>
              <w:t>Score</w:t>
            </w:r>
          </w:p>
        </w:tc>
        <w:tc>
          <w:tcPr>
            <w:tcW w:type="dxa" w:w="2045"/>
            <w:shd w:fill="4472C4"/>
          </w:tcPr>
          <w:p>
            <w:r>
              <w:rPr>
                <w:b/>
                <w:color w:val="FFFFFF"/>
                <w:sz w:val="16"/>
              </w:rPr>
              <w:t>Mitigation / Resolution</w:t>
            </w:r>
          </w:p>
        </w:tc>
        <w:tc>
          <w:tcPr>
            <w:tcW w:type="dxa" w:w="2045"/>
            <w:shd w:fill="4472C4"/>
          </w:tcPr>
          <w:p>
            <w:r>
              <w:rPr>
                <w:b/>
                <w:color w:val="FFFFFF"/>
                <w:sz w:val="16"/>
              </w:rPr>
              <w:t>Status</w:t>
            </w:r>
          </w:p>
        </w:tc>
      </w:tr>
      <w:tr>
        <w:tc>
          <w:tcPr>
            <w:tcW w:type="dxa" w:w="2045"/>
            <w:vAlign w:val="center"/>
          </w:tcPr>
          <w:p>
            <w:r>
              <w:rPr>
                <w:sz w:val="16"/>
              </w:rPr>
              <w:t>R-01</w:t>
            </w:r>
          </w:p>
        </w:tc>
        <w:tc>
          <w:tcPr>
            <w:tcW w:type="dxa" w:w="2045"/>
            <w:vAlign w:val="center"/>
          </w:tcPr>
          <w:p>
            <w:r>
              <w:rPr>
                <w:sz w:val="16"/>
              </w:rPr>
              <w:t>Digital adoption risk in Emergency Intake</w:t>
            </w:r>
          </w:p>
        </w:tc>
        <w:tc>
          <w:tcPr>
            <w:tcW w:type="dxa" w:w="2045"/>
            <w:vAlign w:val="center"/>
          </w:tcPr>
          <w:p>
            <w:r>
              <w:rPr>
                <w:sz w:val="16"/>
              </w:rPr>
              <w:t>12</w:t>
            </w:r>
          </w:p>
        </w:tc>
        <w:tc>
          <w:tcPr>
            <w:tcW w:type="dxa" w:w="2045"/>
            <w:vAlign w:val="center"/>
          </w:tcPr>
          <w:p>
            <w:r>
              <w:rPr>
                <w:sz w:val="16"/>
              </w:rPr>
              <w:t>Assisted digital station + staff script</w:t>
            </w:r>
          </w:p>
        </w:tc>
        <w:tc>
          <w:tcPr>
            <w:tcW w:type="dxa" w:w="2045"/>
            <w:vAlign w:val="center"/>
          </w:tcPr>
          <w:p>
            <w:r>
              <w:rPr>
                <w:sz w:val="16"/>
              </w:rPr>
              <w:t>Closed</w:t>
            </w:r>
          </w:p>
        </w:tc>
      </w:tr>
      <w:tr>
        <w:tc>
          <w:tcPr>
            <w:tcW w:type="dxa" w:w="2045"/>
            <w:vAlign w:val="center"/>
          </w:tcPr>
          <w:p>
            <w:r>
              <w:rPr>
                <w:sz w:val="16"/>
              </w:rPr>
              <w:t>R-02</w:t>
            </w:r>
          </w:p>
        </w:tc>
        <w:tc>
          <w:tcPr>
            <w:tcW w:type="dxa" w:w="2045"/>
            <w:vAlign w:val="center"/>
          </w:tcPr>
          <w:p>
            <w:r>
              <w:rPr>
                <w:sz w:val="16"/>
              </w:rPr>
              <w:t>Eligibility backlog may shift delay upstream</w:t>
            </w:r>
          </w:p>
        </w:tc>
        <w:tc>
          <w:tcPr>
            <w:tcW w:type="dxa" w:w="2045"/>
            <w:vAlign w:val="center"/>
          </w:tcPr>
          <w:p>
            <w:r>
              <w:rPr>
                <w:sz w:val="16"/>
              </w:rPr>
              <w:t>15</w:t>
            </w:r>
          </w:p>
        </w:tc>
        <w:tc>
          <w:tcPr>
            <w:tcW w:type="dxa" w:w="2045"/>
            <w:vAlign w:val="center"/>
          </w:tcPr>
          <w:p>
            <w:r>
              <w:rPr>
                <w:sz w:val="16"/>
              </w:rPr>
              <w:t>Queue threshold + backup coverage</w:t>
            </w:r>
          </w:p>
        </w:tc>
        <w:tc>
          <w:tcPr>
            <w:tcW w:type="dxa" w:w="2045"/>
            <w:vAlign w:val="center"/>
          </w:tcPr>
          <w:p>
            <w:r>
              <w:rPr>
                <w:sz w:val="16"/>
              </w:rPr>
              <w:t>Closed</w:t>
            </w:r>
          </w:p>
        </w:tc>
      </w:tr>
      <w:tr>
        <w:tc>
          <w:tcPr>
            <w:tcW w:type="dxa" w:w="2045"/>
            <w:vAlign w:val="center"/>
          </w:tcPr>
          <w:p>
            <w:r>
              <w:rPr>
                <w:sz w:val="16"/>
              </w:rPr>
              <w:t>R-03</w:t>
            </w:r>
          </w:p>
        </w:tc>
        <w:tc>
          <w:tcPr>
            <w:tcW w:type="dxa" w:w="2045"/>
            <w:vAlign w:val="center"/>
          </w:tcPr>
          <w:p>
            <w:r>
              <w:rPr>
                <w:sz w:val="16"/>
              </w:rPr>
              <w:t>Department practices may diverge</w:t>
            </w:r>
          </w:p>
        </w:tc>
        <w:tc>
          <w:tcPr>
            <w:tcW w:type="dxa" w:w="2045"/>
            <w:vAlign w:val="center"/>
          </w:tcPr>
          <w:p>
            <w:r>
              <w:rPr>
                <w:sz w:val="16"/>
              </w:rPr>
              <w:t>12</w:t>
            </w:r>
          </w:p>
        </w:tc>
        <w:tc>
          <w:tcPr>
            <w:tcW w:type="dxa" w:w="2045"/>
            <w:vAlign w:val="center"/>
          </w:tcPr>
          <w:p>
            <w:r>
              <w:rPr>
                <w:sz w:val="16"/>
              </w:rPr>
              <w:t>Standard work + audit checklist</w:t>
            </w:r>
          </w:p>
        </w:tc>
        <w:tc>
          <w:tcPr>
            <w:tcW w:type="dxa" w:w="2045"/>
            <w:vAlign w:val="center"/>
          </w:tcPr>
          <w:p>
            <w:r>
              <w:rPr>
                <w:sz w:val="16"/>
              </w:rPr>
              <w:t>Closed</w:t>
            </w:r>
          </w:p>
        </w:tc>
      </w:tr>
      <w:tr>
        <w:tc>
          <w:tcPr>
            <w:tcW w:type="dxa" w:w="2045"/>
            <w:vAlign w:val="center"/>
          </w:tcPr>
          <w:p>
            <w:r>
              <w:rPr>
                <w:sz w:val="16"/>
              </w:rPr>
              <w:t>I-01</w:t>
            </w:r>
          </w:p>
        </w:tc>
        <w:tc>
          <w:tcPr>
            <w:tcW w:type="dxa" w:w="2045"/>
            <w:vAlign w:val="center"/>
          </w:tcPr>
          <w:p>
            <w:r>
              <w:rPr>
                <w:sz w:val="16"/>
              </w:rPr>
              <w:t>Duplicate guarantor mapping defect</w:t>
            </w:r>
          </w:p>
        </w:tc>
        <w:tc>
          <w:tcPr>
            <w:tcW w:type="dxa" w:w="2045"/>
            <w:vAlign w:val="center"/>
          </w:tcPr>
          <w:p>
            <w:r>
              <w:rPr>
                <w:sz w:val="16"/>
              </w:rPr>
              <w:t>20</w:t>
            </w:r>
          </w:p>
        </w:tc>
        <w:tc>
          <w:tcPr>
            <w:tcW w:type="dxa" w:w="2045"/>
            <w:vAlign w:val="center"/>
          </w:tcPr>
          <w:p>
            <w:r>
              <w:rPr>
                <w:sz w:val="16"/>
              </w:rPr>
              <w:t>Corrected mapping + retest</w:t>
            </w:r>
          </w:p>
        </w:tc>
        <w:tc>
          <w:tcPr>
            <w:tcW w:type="dxa" w:w="2045"/>
            <w:vAlign w:val="center"/>
          </w:tcPr>
          <w:p>
            <w:r>
              <w:rPr>
                <w:sz w:val="16"/>
              </w:rPr>
              <w:t>Closed</w:t>
            </w:r>
          </w:p>
        </w:tc>
      </w:tr>
      <w:tr>
        <w:tc>
          <w:tcPr>
            <w:tcW w:type="dxa" w:w="2045"/>
            <w:vAlign w:val="center"/>
          </w:tcPr>
          <w:p>
            <w:r>
              <w:rPr>
                <w:sz w:val="16"/>
              </w:rPr>
              <w:t>D-01</w:t>
            </w:r>
          </w:p>
        </w:tc>
        <w:tc>
          <w:tcPr>
            <w:tcW w:type="dxa" w:w="2045"/>
            <w:vAlign w:val="center"/>
          </w:tcPr>
          <w:p>
            <w:r>
              <w:rPr>
                <w:sz w:val="16"/>
              </w:rPr>
              <w:t>Clinical leadership sign-off</w:t>
            </w:r>
          </w:p>
        </w:tc>
        <w:tc>
          <w:tcPr>
            <w:tcW w:type="dxa" w:w="2045"/>
            <w:vAlign w:val="center"/>
          </w:tcPr>
          <w:p>
            <w:r>
              <w:rPr>
                <w:sz w:val="16"/>
              </w:rPr>
              <w:t>20</w:t>
            </w:r>
          </w:p>
        </w:tc>
        <w:tc>
          <w:tcPr>
            <w:tcW w:type="dxa" w:w="2045"/>
            <w:vAlign w:val="center"/>
          </w:tcPr>
          <w:p>
            <w:r>
              <w:rPr>
                <w:sz w:val="16"/>
              </w:rPr>
              <w:t>Readiness review with pilot evidence</w:t>
            </w:r>
          </w:p>
        </w:tc>
        <w:tc>
          <w:tcPr>
            <w:tcW w:type="dxa" w:w="2045"/>
            <w:vAlign w:val="center"/>
          </w:tcPr>
          <w:p>
            <w:r>
              <w:rPr>
                <w:sz w:val="16"/>
              </w:rPr>
              <w:t>Complete</w:t>
            </w:r>
          </w:p>
        </w:tc>
      </w:tr>
    </w:tbl>
    <w:p>
      <w:pPr>
        <w:pStyle w:val="Heading1"/>
      </w:pPr>
      <w:r>
        <w:t>10. Budget Management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4472C4"/>
          </w:tcPr>
          <w:p>
            <w:r>
              <w:rPr>
                <w:b/>
                <w:color w:val="FFFFFF"/>
                <w:sz w:val="16"/>
              </w:rPr>
              <w:t>Category</w:t>
            </w:r>
          </w:p>
        </w:tc>
        <w:tc>
          <w:tcPr>
            <w:tcW w:type="dxa" w:w="2556"/>
            <w:shd w:fill="4472C4"/>
          </w:tcPr>
          <w:p>
            <w:r>
              <w:rPr>
                <w:b/>
                <w:color w:val="FFFFFF"/>
                <w:sz w:val="16"/>
              </w:rPr>
              <w:t>Baseline</w:t>
            </w:r>
          </w:p>
        </w:tc>
        <w:tc>
          <w:tcPr>
            <w:tcW w:type="dxa" w:w="2556"/>
            <w:shd w:fill="4472C4"/>
          </w:tcPr>
          <w:p>
            <w:r>
              <w:rPr>
                <w:b/>
                <w:color w:val="FFFFFF"/>
                <w:sz w:val="16"/>
              </w:rPr>
              <w:t>Actual</w:t>
            </w:r>
          </w:p>
        </w:tc>
        <w:tc>
          <w:tcPr>
            <w:tcW w:type="dxa" w:w="2556"/>
            <w:shd w:fill="4472C4"/>
          </w:tcPr>
          <w:p>
            <w:r>
              <w:rPr>
                <w:b/>
                <w:color w:val="FFFFFF"/>
                <w:sz w:val="16"/>
              </w:rPr>
              <w:t>Variance</w:t>
            </w:r>
          </w:p>
        </w:tc>
      </w:tr>
      <w:tr>
        <w:tc>
          <w:tcPr>
            <w:tcW w:type="dxa" w:w="2556"/>
            <w:vAlign w:val="center"/>
          </w:tcPr>
          <w:p>
            <w:r>
              <w:rPr>
                <w:sz w:val="16"/>
              </w:rPr>
              <w:t>Workflow Analysis &amp; Design</w:t>
            </w:r>
          </w:p>
        </w:tc>
        <w:tc>
          <w:tcPr>
            <w:tcW w:type="dxa" w:w="2556"/>
            <w:vAlign w:val="center"/>
          </w:tcPr>
          <w:p>
            <w:r>
              <w:rPr>
                <w:sz w:val="16"/>
              </w:rPr>
              <w:t>$18,000</w:t>
            </w:r>
          </w:p>
        </w:tc>
        <w:tc>
          <w:tcPr>
            <w:tcW w:type="dxa" w:w="2556"/>
            <w:vAlign w:val="center"/>
          </w:tcPr>
          <w:p>
            <w:r>
              <w:rPr>
                <w:sz w:val="16"/>
              </w:rPr>
              <w:t>$17,400</w:t>
            </w:r>
          </w:p>
        </w:tc>
        <w:tc>
          <w:tcPr>
            <w:tcW w:type="dxa" w:w="2556"/>
            <w:vAlign w:val="center"/>
          </w:tcPr>
          <w:p>
            <w:r>
              <w:rPr>
                <w:sz w:val="16"/>
              </w:rPr>
              <w:t>+$600</w:t>
            </w:r>
          </w:p>
        </w:tc>
      </w:tr>
      <w:tr>
        <w:tc>
          <w:tcPr>
            <w:tcW w:type="dxa" w:w="2556"/>
            <w:vAlign w:val="center"/>
          </w:tcPr>
          <w:p>
            <w:r>
              <w:rPr>
                <w:sz w:val="16"/>
              </w:rPr>
              <w:t>Digital Intake Configuration</w:t>
            </w:r>
          </w:p>
        </w:tc>
        <w:tc>
          <w:tcPr>
            <w:tcW w:type="dxa" w:w="2556"/>
            <w:vAlign w:val="center"/>
          </w:tcPr>
          <w:p>
            <w:r>
              <w:rPr>
                <w:sz w:val="16"/>
              </w:rPr>
              <w:t>$26,000</w:t>
            </w:r>
          </w:p>
        </w:tc>
        <w:tc>
          <w:tcPr>
            <w:tcW w:type="dxa" w:w="2556"/>
            <w:vAlign w:val="center"/>
          </w:tcPr>
          <w:p>
            <w:r>
              <w:rPr>
                <w:sz w:val="16"/>
              </w:rPr>
              <w:t>$27,150</w:t>
            </w:r>
          </w:p>
        </w:tc>
        <w:tc>
          <w:tcPr>
            <w:tcW w:type="dxa" w:w="2556"/>
            <w:vAlign w:val="center"/>
          </w:tcPr>
          <w:p>
            <w:r>
              <w:rPr>
                <w:sz w:val="16"/>
              </w:rPr>
              <w:t>-$1,150</w:t>
            </w:r>
          </w:p>
        </w:tc>
      </w:tr>
      <w:tr>
        <w:tc>
          <w:tcPr>
            <w:tcW w:type="dxa" w:w="2556"/>
            <w:vAlign w:val="center"/>
          </w:tcPr>
          <w:p>
            <w:r>
              <w:rPr>
                <w:sz w:val="16"/>
              </w:rPr>
              <w:t>Eligibility Workflow Setup</w:t>
            </w:r>
          </w:p>
        </w:tc>
        <w:tc>
          <w:tcPr>
            <w:tcW w:type="dxa" w:w="2556"/>
            <w:vAlign w:val="center"/>
          </w:tcPr>
          <w:p>
            <w:r>
              <w:rPr>
                <w:sz w:val="16"/>
              </w:rPr>
              <w:t>$15,000</w:t>
            </w:r>
          </w:p>
        </w:tc>
        <w:tc>
          <w:tcPr>
            <w:tcW w:type="dxa" w:w="2556"/>
            <w:vAlign w:val="center"/>
          </w:tcPr>
          <w:p>
            <w:r>
              <w:rPr>
                <w:sz w:val="16"/>
              </w:rPr>
              <w:t>$14,400</w:t>
            </w:r>
          </w:p>
        </w:tc>
        <w:tc>
          <w:tcPr>
            <w:tcW w:type="dxa" w:w="2556"/>
            <w:vAlign w:val="center"/>
          </w:tcPr>
          <w:p>
            <w:r>
              <w:rPr>
                <w:sz w:val="16"/>
              </w:rPr>
              <w:t>+$600</w:t>
            </w:r>
          </w:p>
        </w:tc>
      </w:tr>
      <w:tr>
        <w:tc>
          <w:tcPr>
            <w:tcW w:type="dxa" w:w="2556"/>
            <w:vAlign w:val="center"/>
          </w:tcPr>
          <w:p>
            <w:r>
              <w:rPr>
                <w:sz w:val="16"/>
              </w:rPr>
              <w:t>Training &amp; Change Management</w:t>
            </w:r>
          </w:p>
        </w:tc>
        <w:tc>
          <w:tcPr>
            <w:tcW w:type="dxa" w:w="2556"/>
            <w:vAlign w:val="center"/>
          </w:tcPr>
          <w:p>
            <w:r>
              <w:rPr>
                <w:sz w:val="16"/>
              </w:rPr>
              <w:t>$16,000</w:t>
            </w:r>
          </w:p>
        </w:tc>
        <w:tc>
          <w:tcPr>
            <w:tcW w:type="dxa" w:w="2556"/>
            <w:vAlign w:val="center"/>
          </w:tcPr>
          <w:p>
            <w:r>
              <w:rPr>
                <w:sz w:val="16"/>
              </w:rPr>
              <w:t>$15,350</w:t>
            </w:r>
          </w:p>
        </w:tc>
        <w:tc>
          <w:tcPr>
            <w:tcW w:type="dxa" w:w="2556"/>
            <w:vAlign w:val="center"/>
          </w:tcPr>
          <w:p>
            <w:r>
              <w:rPr>
                <w:sz w:val="16"/>
              </w:rPr>
              <w:t>+$650</w:t>
            </w:r>
          </w:p>
        </w:tc>
      </w:tr>
      <w:tr>
        <w:tc>
          <w:tcPr>
            <w:tcW w:type="dxa" w:w="2556"/>
            <w:vAlign w:val="center"/>
          </w:tcPr>
          <w:p>
            <w:r>
              <w:rPr>
                <w:sz w:val="16"/>
              </w:rPr>
              <w:t>Pilot &amp; QA</w:t>
            </w:r>
          </w:p>
        </w:tc>
        <w:tc>
          <w:tcPr>
            <w:tcW w:type="dxa" w:w="2556"/>
            <w:vAlign w:val="center"/>
          </w:tcPr>
          <w:p>
            <w:r>
              <w:rPr>
                <w:sz w:val="16"/>
              </w:rPr>
              <w:t>$12,000</w:t>
            </w:r>
          </w:p>
        </w:tc>
        <w:tc>
          <w:tcPr>
            <w:tcW w:type="dxa" w:w="2556"/>
            <w:vAlign w:val="center"/>
          </w:tcPr>
          <w:p>
            <w:r>
              <w:rPr>
                <w:sz w:val="16"/>
              </w:rPr>
              <w:t>$11,800</w:t>
            </w:r>
          </w:p>
        </w:tc>
        <w:tc>
          <w:tcPr>
            <w:tcW w:type="dxa" w:w="2556"/>
            <w:vAlign w:val="center"/>
          </w:tcPr>
          <w:p>
            <w:r>
              <w:rPr>
                <w:sz w:val="16"/>
              </w:rPr>
              <w:t>+$200</w:t>
            </w:r>
          </w:p>
        </w:tc>
      </w:tr>
      <w:tr>
        <w:tc>
          <w:tcPr>
            <w:tcW w:type="dxa" w:w="2556"/>
            <w:vAlign w:val="center"/>
          </w:tcPr>
          <w:p>
            <w:r>
              <w:rPr>
                <w:sz w:val="16"/>
              </w:rPr>
              <w:t>Rollout &amp; Stabilization</w:t>
            </w:r>
          </w:p>
        </w:tc>
        <w:tc>
          <w:tcPr>
            <w:tcW w:type="dxa" w:w="2556"/>
            <w:vAlign w:val="center"/>
          </w:tcPr>
          <w:p>
            <w:r>
              <w:rPr>
                <w:sz w:val="16"/>
              </w:rPr>
              <w:t>$18,000</w:t>
            </w:r>
          </w:p>
        </w:tc>
        <w:tc>
          <w:tcPr>
            <w:tcW w:type="dxa" w:w="2556"/>
            <w:vAlign w:val="center"/>
          </w:tcPr>
          <w:p>
            <w:r>
              <w:rPr>
                <w:sz w:val="16"/>
              </w:rPr>
              <w:t>$17,050</w:t>
            </w:r>
          </w:p>
        </w:tc>
        <w:tc>
          <w:tcPr>
            <w:tcW w:type="dxa" w:w="2556"/>
            <w:vAlign w:val="center"/>
          </w:tcPr>
          <w:p>
            <w:r>
              <w:rPr>
                <w:sz w:val="16"/>
              </w:rPr>
              <w:t>+$950</w:t>
            </w:r>
          </w:p>
        </w:tc>
      </w:tr>
      <w:tr>
        <w:tc>
          <w:tcPr>
            <w:tcW w:type="dxa" w:w="2556"/>
            <w:vAlign w:val="center"/>
          </w:tcPr>
          <w:p>
            <w:r>
              <w:rPr>
                <w:sz w:val="16"/>
              </w:rPr>
              <w:t>TOTAL</w:t>
            </w:r>
          </w:p>
        </w:tc>
        <w:tc>
          <w:tcPr>
            <w:tcW w:type="dxa" w:w="2556"/>
            <w:vAlign w:val="center"/>
          </w:tcPr>
          <w:p>
            <w:r>
              <w:rPr>
                <w:sz w:val="16"/>
              </w:rPr>
              <w:t>$105,000</w:t>
            </w:r>
          </w:p>
        </w:tc>
        <w:tc>
          <w:tcPr>
            <w:tcW w:type="dxa" w:w="2556"/>
            <w:vAlign w:val="center"/>
          </w:tcPr>
          <w:p>
            <w:r>
              <w:rPr>
                <w:sz w:val="16"/>
              </w:rPr>
              <w:t>$103,150</w:t>
            </w:r>
          </w:p>
        </w:tc>
        <w:tc>
          <w:tcPr>
            <w:tcW w:type="dxa" w:w="2556"/>
            <w:vAlign w:val="center"/>
          </w:tcPr>
          <w:p>
            <w:r>
              <w:rPr>
                <w:sz w:val="16"/>
              </w:rPr>
              <w:t>+$1,850 favorable</w:t>
            </w:r>
          </w:p>
        </w:tc>
      </w:tr>
    </w:tbl>
    <w:p>
      <w:pPr>
        <w:pStyle w:val="Heading1"/>
      </w:pPr>
      <w:r>
        <w:t>11. Quality &amp; Acceptance</w:t>
      </w:r>
    </w:p>
    <w:p>
      <w:r>
        <w:t>Acceptance criteria included validated digital-form rules, eligibility queue readiness, complete staff training, resolved critical pilot defects, standardized handoff checklist, KPI trend improvement, and executive acceptance of closeout.</w:t>
      </w:r>
    </w:p>
    <w:p>
      <w:pPr>
        <w:pStyle w:val="Heading1"/>
      </w:pPr>
      <w:r>
        <w:t>12. Privacy &amp; Data Handling</w:t>
      </w:r>
    </w:p>
    <w:p>
      <w:r>
        <w:t>The portfolio artifact uses only simulated operational metrics. No patient names, dates of birth, identifiers, diagnoses, insurance numbers, encounter records, or other PHI are included.</w:t>
      </w:r>
    </w:p>
    <w:p>
      <w:pPr>
        <w:pStyle w:val="Heading1"/>
      </w:pPr>
      <w:r>
        <w:t>13. Lessons Learned</w:t>
      </w:r>
    </w:p>
    <w:p>
      <w:pPr>
        <w:pStyle w:val="ListBullet"/>
      </w:pPr>
      <w:r>
        <w:t>Move insurance verification upstream only when queue ownership and exception thresholds are clear.</w:t>
      </w:r>
    </w:p>
    <w:p>
      <w:pPr>
        <w:pStyle w:val="ListBullet"/>
      </w:pPr>
      <w:r>
        <w:t>Real-time form validation prevents downstream rework more effectively than end-of-process review.</w:t>
      </w:r>
    </w:p>
    <w:p>
      <w:pPr>
        <w:pStyle w:val="ListBullet"/>
      </w:pPr>
      <w:r>
        <w:t>Pilot exit criteria should include both defect severity and operational adoption metrics.</w:t>
      </w:r>
    </w:p>
    <w:p>
      <w:pPr>
        <w:pStyle w:val="ListBullet"/>
      </w:pPr>
      <w:r>
        <w:t>Department-specific adoption support may be necessary even when the standardized workflow is the same.</w:t>
      </w:r>
    </w:p>
    <w:p>
      <w:pPr>
        <w:pStyle w:val="ListBullet"/>
      </w:pPr>
      <w:r>
        <w:t>One formula-driven dashboard reduces inconsistency between operations and executive reporting.</w:t>
      </w:r>
    </w:p>
    <w:sectPr w:rsidR="00FC693F" w:rsidRPr="0006063C" w:rsidSect="00034616">
      <w:head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Hospital Intake Workflow Optimization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472C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