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Weekly Status Report - Week 6</w:t>
      </w:r>
    </w:p>
    <w:p>
      <w:pPr>
        <w:jc w:val="center"/>
      </w:pPr>
      <w:r>
        <w:rPr>
          <w:color w:val="5A5A5A"/>
          <w:sz w:val="20"/>
        </w:rPr>
        <w:t>Hospital Intake Workflow Optimization | Simulated Portfolio Case Study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4472C4"/>
          </w:tcPr>
          <w:p>
            <w:r>
              <w:rPr>
                <w:b/>
                <w:color w:val="FFFFFF"/>
                <w:sz w:val="16"/>
              </w:rPr>
              <w:t>Overall</w:t>
            </w:r>
          </w:p>
        </w:tc>
        <w:tc>
          <w:tcPr>
            <w:tcW w:type="dxa" w:w="2045"/>
            <w:shd w:fill="4472C4"/>
          </w:tcPr>
          <w:p>
            <w:r>
              <w:rPr>
                <w:b/>
                <w:color w:val="FFFFFF"/>
                <w:sz w:val="16"/>
              </w:rPr>
              <w:t>Schedule</w:t>
            </w:r>
          </w:p>
        </w:tc>
        <w:tc>
          <w:tcPr>
            <w:tcW w:type="dxa" w:w="2045"/>
            <w:shd w:fill="4472C4"/>
          </w:tcPr>
          <w:p>
            <w:r>
              <w:rPr>
                <w:b/>
                <w:color w:val="FFFFFF"/>
                <w:sz w:val="16"/>
              </w:rPr>
              <w:t>Budget</w:t>
            </w:r>
          </w:p>
        </w:tc>
        <w:tc>
          <w:tcPr>
            <w:tcW w:type="dxa" w:w="2045"/>
            <w:shd w:fill="4472C4"/>
          </w:tcPr>
          <w:p>
            <w:r>
              <w:rPr>
                <w:b/>
                <w:color w:val="FFFFFF"/>
                <w:sz w:val="16"/>
              </w:rPr>
              <w:t>Scope</w:t>
            </w:r>
          </w:p>
        </w:tc>
        <w:tc>
          <w:tcPr>
            <w:tcW w:type="dxa" w:w="2045"/>
            <w:shd w:fill="4472C4"/>
          </w:tcPr>
          <w:p>
            <w:r>
              <w:rPr>
                <w:b/>
                <w:color w:val="FFFFFF"/>
                <w:sz w:val="16"/>
              </w:rPr>
              <w:t>Quality</w:t>
            </w:r>
          </w:p>
        </w:tc>
      </w:tr>
      <w:tr>
        <w:tc>
          <w:tcPr>
            <w:tcW w:type="dxa" w:w="2045"/>
            <w:vAlign w:val="center"/>
          </w:tcPr>
          <w:p>
            <w:r>
              <w:rPr>
                <w:sz w:val="16"/>
              </w:rPr>
              <w:t>Green</w:t>
            </w:r>
          </w:p>
        </w:tc>
        <w:tc>
          <w:tcPr>
            <w:tcW w:type="dxa" w:w="2045"/>
            <w:vAlign w:val="center"/>
          </w:tcPr>
          <w:p>
            <w:r>
              <w:rPr>
                <w:sz w:val="16"/>
              </w:rPr>
              <w:t>Green</w:t>
            </w:r>
          </w:p>
        </w:tc>
        <w:tc>
          <w:tcPr>
            <w:tcW w:type="dxa" w:w="2045"/>
            <w:vAlign w:val="center"/>
          </w:tcPr>
          <w:p>
            <w:r>
              <w:rPr>
                <w:sz w:val="16"/>
              </w:rPr>
              <w:t>Green</w:t>
            </w:r>
          </w:p>
        </w:tc>
        <w:tc>
          <w:tcPr>
            <w:tcW w:type="dxa" w:w="2045"/>
            <w:vAlign w:val="center"/>
          </w:tcPr>
          <w:p>
            <w:r>
              <w:rPr>
                <w:sz w:val="16"/>
              </w:rPr>
              <w:t>Green</w:t>
            </w:r>
          </w:p>
        </w:tc>
        <w:tc>
          <w:tcPr>
            <w:tcW w:type="dxa" w:w="2045"/>
            <w:vAlign w:val="center"/>
          </w:tcPr>
          <w:p>
            <w:r>
              <w:rPr>
                <w:sz w:val="16"/>
              </w:rPr>
              <w:t>Green</w:t>
            </w:r>
          </w:p>
        </w:tc>
      </w:tr>
    </w:tbl>
    <w:p>
      <w:pPr>
        <w:pStyle w:val="Heading1"/>
      </w:pPr>
      <w:r>
        <w:t>Executive Summary</w:t>
      </w:r>
    </w:p>
    <w:p>
      <w:r>
        <w:t>The optimized intake workflow is fully deployed across all five simulated departments and has entered closeout. Registration time, wait time, digital adoption, data quality, and patient satisfaction all exceeded the project targets, with no open RAID items.</w:t>
      </w:r>
    </w:p>
    <w:p>
      <w:pPr>
        <w:pStyle w:val="Heading1"/>
      </w:pPr>
      <w:r>
        <w:t>Key Performance Indicators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4472C4"/>
          </w:tcPr>
          <w:p>
            <w:r>
              <w:rPr>
                <w:b/>
                <w:color w:val="FFFFFF"/>
                <w:sz w:val="16"/>
              </w:rPr>
              <w:t>KPI</w:t>
            </w:r>
          </w:p>
        </w:tc>
        <w:tc>
          <w:tcPr>
            <w:tcW w:type="dxa" w:w="2556"/>
            <w:shd w:fill="4472C4"/>
          </w:tcPr>
          <w:p>
            <w:r>
              <w:rPr>
                <w:b/>
                <w:color w:val="FFFFFF"/>
                <w:sz w:val="16"/>
              </w:rPr>
              <w:t>Baseline</w:t>
            </w:r>
          </w:p>
        </w:tc>
        <w:tc>
          <w:tcPr>
            <w:tcW w:type="dxa" w:w="2556"/>
            <w:shd w:fill="4472C4"/>
          </w:tcPr>
          <w:p>
            <w:r>
              <w:rPr>
                <w:b/>
                <w:color w:val="FFFFFF"/>
                <w:sz w:val="16"/>
              </w:rPr>
              <w:t>Current</w:t>
            </w:r>
          </w:p>
        </w:tc>
        <w:tc>
          <w:tcPr>
            <w:tcW w:type="dxa" w:w="2556"/>
            <w:shd w:fill="4472C4"/>
          </w:tcPr>
          <w:p>
            <w:r>
              <w:rPr>
                <w:b/>
                <w:color w:val="FFFFFF"/>
                <w:sz w:val="16"/>
              </w:rPr>
              <w:t>Result</w:t>
            </w:r>
          </w:p>
        </w:tc>
      </w:tr>
      <w:tr>
        <w:tc>
          <w:tcPr>
            <w:tcW w:type="dxa" w:w="2556"/>
            <w:vAlign w:val="center"/>
          </w:tcPr>
          <w:p>
            <w:r>
              <w:rPr>
                <w:sz w:val="16"/>
              </w:rPr>
              <w:t>Avg registration time</w:t>
            </w:r>
          </w:p>
        </w:tc>
        <w:tc>
          <w:tcPr>
            <w:tcW w:type="dxa" w:w="2556"/>
            <w:vAlign w:val="center"/>
          </w:tcPr>
          <w:p>
            <w:r>
              <w:rPr>
                <w:sz w:val="16"/>
              </w:rPr>
              <w:t>14.8 min</w:t>
            </w:r>
          </w:p>
        </w:tc>
        <w:tc>
          <w:tcPr>
            <w:tcW w:type="dxa" w:w="2556"/>
            <w:vAlign w:val="center"/>
          </w:tcPr>
          <w:p>
            <w:r>
              <w:rPr>
                <w:sz w:val="16"/>
              </w:rPr>
              <w:t>7.6 min</w:t>
            </w:r>
          </w:p>
        </w:tc>
        <w:tc>
          <w:tcPr>
            <w:tcW w:type="dxa" w:w="2556"/>
            <w:vAlign w:val="center"/>
          </w:tcPr>
          <w:p>
            <w:r>
              <w:rPr>
                <w:sz w:val="16"/>
              </w:rPr>
              <w:t>48.6% reduction</w:t>
            </w:r>
          </w:p>
        </w:tc>
      </w:tr>
      <w:tr>
        <w:tc>
          <w:tcPr>
            <w:tcW w:type="dxa" w:w="2556"/>
            <w:vAlign w:val="center"/>
          </w:tcPr>
          <w:p>
            <w:r>
              <w:rPr>
                <w:sz w:val="16"/>
              </w:rPr>
              <w:t>Avg patient wait</w:t>
            </w:r>
          </w:p>
        </w:tc>
        <w:tc>
          <w:tcPr>
            <w:tcW w:type="dxa" w:w="2556"/>
            <w:vAlign w:val="center"/>
          </w:tcPr>
          <w:p>
            <w:r>
              <w:rPr>
                <w:sz w:val="16"/>
              </w:rPr>
              <w:t>31.0 min</w:t>
            </w:r>
          </w:p>
        </w:tc>
        <w:tc>
          <w:tcPr>
            <w:tcW w:type="dxa" w:w="2556"/>
            <w:vAlign w:val="center"/>
          </w:tcPr>
          <w:p>
            <w:r>
              <w:rPr>
                <w:sz w:val="16"/>
              </w:rPr>
              <w:t>17.2 min</w:t>
            </w:r>
          </w:p>
        </w:tc>
        <w:tc>
          <w:tcPr>
            <w:tcW w:type="dxa" w:w="2556"/>
            <w:vAlign w:val="center"/>
          </w:tcPr>
          <w:p>
            <w:r>
              <w:rPr>
                <w:sz w:val="16"/>
              </w:rPr>
              <w:t>44.5% reduction</w:t>
            </w:r>
          </w:p>
        </w:tc>
      </w:tr>
      <w:tr>
        <w:tc>
          <w:tcPr>
            <w:tcW w:type="dxa" w:w="2556"/>
            <w:vAlign w:val="center"/>
          </w:tcPr>
          <w:p>
            <w:r>
              <w:rPr>
                <w:sz w:val="16"/>
              </w:rPr>
              <w:t>Digital form adoption</w:t>
            </w:r>
          </w:p>
        </w:tc>
        <w:tc>
          <w:tcPr>
            <w:tcW w:type="dxa" w:w="2556"/>
            <w:vAlign w:val="center"/>
          </w:tcPr>
          <w:p>
            <w:r>
              <w:rPr>
                <w:sz w:val="16"/>
              </w:rPr>
              <w:t>42%</w:t>
            </w:r>
          </w:p>
        </w:tc>
        <w:tc>
          <w:tcPr>
            <w:tcW w:type="dxa" w:w="2556"/>
            <w:vAlign w:val="center"/>
          </w:tcPr>
          <w:p>
            <w:r>
              <w:rPr>
                <w:sz w:val="16"/>
              </w:rPr>
              <w:t>94%</w:t>
            </w:r>
          </w:p>
        </w:tc>
        <w:tc>
          <w:tcPr>
            <w:tcW w:type="dxa" w:w="2556"/>
            <w:vAlign w:val="center"/>
          </w:tcPr>
          <w:p>
            <w:r>
              <w:rPr>
                <w:sz w:val="16"/>
              </w:rPr>
              <w:t>+52 pts</w:t>
            </w:r>
          </w:p>
        </w:tc>
      </w:tr>
      <w:tr>
        <w:tc>
          <w:tcPr>
            <w:tcW w:type="dxa" w:w="2556"/>
            <w:vAlign w:val="center"/>
          </w:tcPr>
          <w:p>
            <w:r>
              <w:rPr>
                <w:sz w:val="16"/>
              </w:rPr>
              <w:t>Data error rate</w:t>
            </w:r>
          </w:p>
        </w:tc>
        <w:tc>
          <w:tcPr>
            <w:tcW w:type="dxa" w:w="2556"/>
            <w:vAlign w:val="center"/>
          </w:tcPr>
          <w:p>
            <w:r>
              <w:rPr>
                <w:sz w:val="16"/>
              </w:rPr>
              <w:t>8.7%</w:t>
            </w:r>
          </w:p>
        </w:tc>
        <w:tc>
          <w:tcPr>
            <w:tcW w:type="dxa" w:w="2556"/>
            <w:vAlign w:val="center"/>
          </w:tcPr>
          <w:p>
            <w:r>
              <w:rPr>
                <w:sz w:val="16"/>
              </w:rPr>
              <w:t>1.8%</w:t>
            </w:r>
          </w:p>
        </w:tc>
        <w:tc>
          <w:tcPr>
            <w:tcW w:type="dxa" w:w="2556"/>
            <w:vAlign w:val="center"/>
          </w:tcPr>
          <w:p>
            <w:r>
              <w:rPr>
                <w:sz w:val="16"/>
              </w:rPr>
              <w:t>6.9 pts lower</w:t>
            </w:r>
          </w:p>
        </w:tc>
      </w:tr>
      <w:tr>
        <w:tc>
          <w:tcPr>
            <w:tcW w:type="dxa" w:w="2556"/>
            <w:vAlign w:val="center"/>
          </w:tcPr>
          <w:p>
            <w:r>
              <w:rPr>
                <w:sz w:val="16"/>
              </w:rPr>
              <w:t>Patient satisfaction</w:t>
            </w:r>
          </w:p>
        </w:tc>
        <w:tc>
          <w:tcPr>
            <w:tcW w:type="dxa" w:w="2556"/>
            <w:vAlign w:val="center"/>
          </w:tcPr>
          <w:p>
            <w:r>
              <w:rPr>
                <w:sz w:val="16"/>
              </w:rPr>
              <w:t>3.7 / 5</w:t>
            </w:r>
          </w:p>
        </w:tc>
        <w:tc>
          <w:tcPr>
            <w:tcW w:type="dxa" w:w="2556"/>
            <w:vAlign w:val="center"/>
          </w:tcPr>
          <w:p>
            <w:r>
              <w:rPr>
                <w:sz w:val="16"/>
              </w:rPr>
              <w:t>4.6 / 5</w:t>
            </w:r>
          </w:p>
        </w:tc>
        <w:tc>
          <w:tcPr>
            <w:tcW w:type="dxa" w:w="2556"/>
            <w:vAlign w:val="center"/>
          </w:tcPr>
          <w:p>
            <w:r>
              <w:rPr>
                <w:sz w:val="16"/>
              </w:rPr>
              <w:t>+0.9</w:t>
            </w:r>
          </w:p>
        </w:tc>
      </w:tr>
      <w:tr>
        <w:tc>
          <w:tcPr>
            <w:tcW w:type="dxa" w:w="2556"/>
            <w:vAlign w:val="center"/>
          </w:tcPr>
          <w:p>
            <w:r>
              <w:rPr>
                <w:sz w:val="16"/>
              </w:rPr>
              <w:t>Budget</w:t>
            </w:r>
          </w:p>
        </w:tc>
        <w:tc>
          <w:tcPr>
            <w:tcW w:type="dxa" w:w="2556"/>
            <w:vAlign w:val="center"/>
          </w:tcPr>
          <w:p>
            <w:r>
              <w:rPr>
                <w:sz w:val="16"/>
              </w:rPr>
              <w:t>$105,000</w:t>
            </w:r>
          </w:p>
        </w:tc>
        <w:tc>
          <w:tcPr>
            <w:tcW w:type="dxa" w:w="2556"/>
            <w:vAlign w:val="center"/>
          </w:tcPr>
          <w:p>
            <w:r>
              <w:rPr>
                <w:sz w:val="16"/>
              </w:rPr>
              <w:t>$103,150</w:t>
            </w:r>
          </w:p>
        </w:tc>
        <w:tc>
          <w:tcPr>
            <w:tcW w:type="dxa" w:w="2556"/>
            <w:vAlign w:val="center"/>
          </w:tcPr>
          <w:p>
            <w:r>
              <w:rPr>
                <w:sz w:val="16"/>
              </w:rPr>
              <w:t>1.8% favorable</w:t>
            </w:r>
          </w:p>
        </w:tc>
      </w:tr>
    </w:tbl>
    <w:p>
      <w:pPr>
        <w:pStyle w:val="Heading1"/>
      </w:pPr>
      <w:r>
        <w:t>Completed This Week</w:t>
      </w:r>
    </w:p>
    <w:p>
      <w:pPr>
        <w:pStyle w:val="ListBullet"/>
      </w:pPr>
      <w:r>
        <w:t>Completed stabilization monitoring.</w:t>
      </w:r>
    </w:p>
    <w:p>
      <w:pPr>
        <w:pStyle w:val="ListBullet"/>
      </w:pPr>
      <w:r>
        <w:t>Closed remaining operational issues.</w:t>
      </w:r>
    </w:p>
    <w:p>
      <w:pPr>
        <w:pStyle w:val="ListBullet"/>
      </w:pPr>
      <w:r>
        <w:t>Validated final KPI trends.</w:t>
      </w:r>
    </w:p>
    <w:p>
      <w:pPr>
        <w:pStyle w:val="ListBullet"/>
      </w:pPr>
      <w:r>
        <w:t>Completed final budget reconciliation.</w:t>
      </w:r>
    </w:p>
    <w:p>
      <w:pPr>
        <w:pStyle w:val="ListBullet"/>
      </w:pPr>
      <w:r>
        <w:t>Prepared executive closeout package.</w:t>
      </w:r>
    </w:p>
    <w:p>
      <w:pPr>
        <w:pStyle w:val="Heading1"/>
      </w:pPr>
      <w:r>
        <w:t>Next Steps</w:t>
      </w:r>
    </w:p>
    <w:p>
      <w:pPr>
        <w:pStyle w:val="ListBullet"/>
      </w:pPr>
      <w:r>
        <w:t>Deliver executive closeout update.</w:t>
      </w:r>
    </w:p>
    <w:p>
      <w:pPr>
        <w:pStyle w:val="ListBullet"/>
      </w:pPr>
      <w:r>
        <w:t>Archive project artifacts and decision log.</w:t>
      </w:r>
    </w:p>
    <w:p>
      <w:pPr>
        <w:pStyle w:val="ListBullet"/>
      </w:pPr>
      <w:r>
        <w:t>Transition KPI monitoring to operational owners.</w:t>
      </w:r>
    </w:p>
    <w:sectPr w:rsidR="00FC693F" w:rsidRPr="0006063C" w:rsidSect="00034616">
      <w:head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Hospital Intake Workflow Optimization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472C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