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UAT Readiness Review - Meeting Notes</w:t>
      </w:r>
    </w:p>
    <w:p>
      <w:pPr>
        <w:jc w:val="center"/>
      </w:pPr>
      <w:r>
        <w:rPr>
          <w:color w:val="5A5A5A"/>
          <w:sz w:val="20"/>
        </w:rPr>
        <w:t>Week 4 | Simulated Portfolio Case Study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Date</w:t>
            </w:r>
          </w:p>
        </w:tc>
        <w:tc>
          <w:tcPr>
            <w:tcW w:type="dxa" w:w="2556"/>
            <w:shd w:fill="4472C4"/>
          </w:tcPr>
          <w:p>
            <w:r>
              <w:rPr>
                <w:b/>
                <w:color w:val="FFFFFF"/>
                <w:sz w:val="16"/>
              </w:rPr>
              <w:t>Facilitator</w:t>
            </w:r>
          </w:p>
        </w:tc>
        <w:tc>
          <w:tcPr>
            <w:tcW w:type="dxa" w:w="2556"/>
            <w:shd w:fill="4472C4"/>
          </w:tcPr>
          <w:p>
            <w:r>
              <w:rPr>
                <w:b/>
                <w:color w:val="FFFFFF"/>
                <w:sz w:val="16"/>
              </w:rPr>
              <w:t>Participants</w:t>
            </w:r>
          </w:p>
        </w:tc>
        <w:tc>
          <w:tcPr>
            <w:tcW w:type="dxa" w:w="2556"/>
            <w:shd w:fill="4472C4"/>
          </w:tcPr>
          <w:p>
            <w:r>
              <w:rPr>
                <w:b/>
                <w:color w:val="FFFFFF"/>
                <w:sz w:val="16"/>
              </w:rPr>
              <w:t>Purpose</w:t>
            </w:r>
          </w:p>
        </w:tc>
      </w:tr>
      <w:tr>
        <w:tc>
          <w:tcPr>
            <w:tcW w:type="dxa" w:w="2556"/>
            <w:vAlign w:val="center"/>
          </w:tcPr>
          <w:p>
            <w:r>
              <w:rPr>
                <w:sz w:val="16"/>
              </w:rPr>
              <w:t>Feb 27, 2026</w:t>
            </w:r>
          </w:p>
        </w:tc>
        <w:tc>
          <w:tcPr>
            <w:tcW w:type="dxa" w:w="2556"/>
            <w:vAlign w:val="center"/>
          </w:tcPr>
          <w:p>
            <w:r>
              <w:rPr>
                <w:sz w:val="16"/>
              </w:rPr>
              <w:t>Project Coordinator</w:t>
            </w:r>
          </w:p>
        </w:tc>
        <w:tc>
          <w:tcPr>
            <w:tcW w:type="dxa" w:w="2556"/>
            <w:vAlign w:val="center"/>
          </w:tcPr>
          <w:p>
            <w:r>
              <w:rPr>
                <w:sz w:val="16"/>
              </w:rPr>
              <w:t>Sales Ops, Salesforce Admin, Data, QA, Change, Sales Leadership</w:t>
            </w:r>
          </w:p>
        </w:tc>
        <w:tc>
          <w:tcPr>
            <w:tcW w:type="dxa" w:w="2556"/>
            <w:vAlign w:val="center"/>
          </w:tcPr>
          <w:p>
            <w:r>
              <w:rPr>
                <w:sz w:val="16"/>
              </w:rPr>
              <w:t>Review UAT progress, migration quality, defects, and cutover readiness</w:t>
            </w:r>
          </w:p>
        </w:tc>
      </w:tr>
    </w:tbl>
    <w:p>
      <w:pPr>
        <w:pStyle w:val="Heading1"/>
      </w:pPr>
      <w:r>
        <w:t>Agenda</w:t>
      </w:r>
    </w:p>
    <w:p>
      <w:pPr>
        <w:pStyle w:val="ListBullet"/>
      </w:pPr>
      <w:r>
        <w:t>UAT execution and pass rate</w:t>
      </w:r>
    </w:p>
    <w:p>
      <w:pPr>
        <w:pStyle w:val="ListBullet"/>
      </w:pPr>
      <w:r>
        <w:t>Open defect review</w:t>
      </w:r>
    </w:p>
    <w:p>
      <w:pPr>
        <w:pStyle w:val="ListBullet"/>
      </w:pPr>
      <w:r>
        <w:t>Migration reconciliation</w:t>
      </w:r>
    </w:p>
    <w:p>
      <w:pPr>
        <w:pStyle w:val="ListBullet"/>
      </w:pPr>
      <w:r>
        <w:t>Permission validation</w:t>
      </w:r>
    </w:p>
    <w:p>
      <w:pPr>
        <w:pStyle w:val="ListBullet"/>
      </w:pPr>
      <w:r>
        <w:t>Training readiness</w:t>
      </w:r>
    </w:p>
    <w:p>
      <w:pPr>
        <w:pStyle w:val="ListBullet"/>
      </w:pPr>
      <w:r>
        <w:t>Cutover dependencies</w:t>
      </w:r>
    </w:p>
    <w:p>
      <w:pPr>
        <w:pStyle w:val="ListBullet"/>
      </w:pPr>
      <w:r>
        <w:t>RAID and change review</w:t>
      </w:r>
    </w:p>
    <w:p>
      <w:pPr>
        <w:pStyle w:val="Heading1"/>
      </w:pPr>
      <w:r>
        <w:t>Discussion Summary</w:t>
      </w:r>
    </w:p>
    <w:p>
      <w:r>
        <w:t>UAT remained on track with pass rates improving and no unresolved critical defects. The team reviewed contact deduplication results from the second mock migration, confirmed permission test coverage, and aligned training and cutover dependencies.</w:t>
      </w:r>
    </w:p>
    <w:p>
      <w:pPr>
        <w:pStyle w:val="Heading1"/>
      </w:pPr>
      <w:r>
        <w:t>Decisions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Decision ID</w:t>
            </w:r>
          </w:p>
        </w:tc>
        <w:tc>
          <w:tcPr>
            <w:tcW w:type="dxa" w:w="2556"/>
            <w:shd w:fill="4472C4"/>
          </w:tcPr>
          <w:p>
            <w:r>
              <w:rPr>
                <w:b/>
                <w:color w:val="FFFFFF"/>
                <w:sz w:val="16"/>
              </w:rPr>
              <w:t>Decision</w:t>
            </w:r>
          </w:p>
        </w:tc>
        <w:tc>
          <w:tcPr>
            <w:tcW w:type="dxa" w:w="2556"/>
            <w:shd w:fill="4472C4"/>
          </w:tcPr>
          <w:p>
            <w:r>
              <w:rPr>
                <w:b/>
                <w:color w:val="FFFFFF"/>
                <w:sz w:val="16"/>
              </w:rPr>
              <w:t>Owner</w:t>
            </w:r>
          </w:p>
        </w:tc>
        <w:tc>
          <w:tcPr>
            <w:tcW w:type="dxa" w:w="2556"/>
            <w:shd w:fill="4472C4"/>
          </w:tcPr>
          <w:p>
            <w:r>
              <w:rPr>
                <w:b/>
                <w:color w:val="FFFFFF"/>
                <w:sz w:val="16"/>
              </w:rPr>
              <w:t>Date</w:t>
            </w:r>
          </w:p>
        </w:tc>
      </w:tr>
      <w:tr>
        <w:tc>
          <w:tcPr>
            <w:tcW w:type="dxa" w:w="2556"/>
            <w:vAlign w:val="center"/>
          </w:tcPr>
          <w:p>
            <w:r>
              <w:rPr>
                <w:sz w:val="16"/>
              </w:rPr>
              <w:t>DEC-04</w:t>
            </w:r>
          </w:p>
        </w:tc>
        <w:tc>
          <w:tcPr>
            <w:tcW w:type="dxa" w:w="2556"/>
            <w:vAlign w:val="center"/>
          </w:tcPr>
          <w:p>
            <w:r>
              <w:rPr>
                <w:sz w:val="16"/>
              </w:rPr>
              <w:t>Proceed to final UAT sign-off once remaining high defects pass retest</w:t>
            </w:r>
          </w:p>
        </w:tc>
        <w:tc>
          <w:tcPr>
            <w:tcW w:type="dxa" w:w="2556"/>
            <w:vAlign w:val="center"/>
          </w:tcPr>
          <w:p>
            <w:r>
              <w:rPr>
                <w:sz w:val="16"/>
              </w:rPr>
              <w:t>Project Coordinator</w:t>
            </w:r>
          </w:p>
        </w:tc>
        <w:tc>
          <w:tcPr>
            <w:tcW w:type="dxa" w:w="2556"/>
            <w:vAlign w:val="center"/>
          </w:tcPr>
          <w:p>
            <w:r>
              <w:rPr>
                <w:sz w:val="16"/>
              </w:rPr>
              <w:t>Feb 27, 2026</w:t>
            </w:r>
          </w:p>
        </w:tc>
      </w:tr>
      <w:tr>
        <w:tc>
          <w:tcPr>
            <w:tcW w:type="dxa" w:w="2556"/>
            <w:vAlign w:val="center"/>
          </w:tcPr>
          <w:p>
            <w:r>
              <w:rPr>
                <w:sz w:val="16"/>
              </w:rPr>
              <w:t>DEC-05</w:t>
            </w:r>
          </w:p>
        </w:tc>
        <w:tc>
          <w:tcPr>
            <w:tcW w:type="dxa" w:w="2556"/>
            <w:vAlign w:val="center"/>
          </w:tcPr>
          <w:p>
            <w:r>
              <w:rPr>
                <w:sz w:val="16"/>
              </w:rPr>
              <w:t>Use revised contact matching rules for production migration</w:t>
            </w:r>
          </w:p>
        </w:tc>
        <w:tc>
          <w:tcPr>
            <w:tcW w:type="dxa" w:w="2556"/>
            <w:vAlign w:val="center"/>
          </w:tcPr>
          <w:p>
            <w:r>
              <w:rPr>
                <w:sz w:val="16"/>
              </w:rPr>
              <w:t>Data Lead</w:t>
            </w:r>
          </w:p>
        </w:tc>
        <w:tc>
          <w:tcPr>
            <w:tcW w:type="dxa" w:w="2556"/>
            <w:vAlign w:val="center"/>
          </w:tcPr>
          <w:p>
            <w:r>
              <w:rPr>
                <w:sz w:val="16"/>
              </w:rPr>
              <w:t>Feb 27, 2026</w:t>
            </w:r>
          </w:p>
        </w:tc>
      </w:tr>
      <w:tr>
        <w:tc>
          <w:tcPr>
            <w:tcW w:type="dxa" w:w="2556"/>
            <w:vAlign w:val="center"/>
          </w:tcPr>
          <w:p>
            <w:r>
              <w:rPr>
                <w:sz w:val="16"/>
              </w:rPr>
              <w:t>DEC-06</w:t>
            </w:r>
          </w:p>
        </w:tc>
        <w:tc>
          <w:tcPr>
            <w:tcW w:type="dxa" w:w="2556"/>
            <w:vAlign w:val="center"/>
          </w:tcPr>
          <w:p>
            <w:r>
              <w:rPr>
                <w:sz w:val="16"/>
              </w:rPr>
              <w:t>Keep role-based office hours through extended hypercare</w:t>
            </w:r>
          </w:p>
        </w:tc>
        <w:tc>
          <w:tcPr>
            <w:tcW w:type="dxa" w:w="2556"/>
            <w:vAlign w:val="center"/>
          </w:tcPr>
          <w:p>
            <w:r>
              <w:rPr>
                <w:sz w:val="16"/>
              </w:rPr>
              <w:t>Change Lead</w:t>
            </w:r>
          </w:p>
        </w:tc>
        <w:tc>
          <w:tcPr>
            <w:tcW w:type="dxa" w:w="2556"/>
            <w:vAlign w:val="center"/>
          </w:tcPr>
          <w:p>
            <w:r>
              <w:rPr>
                <w:sz w:val="16"/>
              </w:rPr>
              <w:t>Feb 27, 2026</w:t>
            </w:r>
          </w:p>
        </w:tc>
      </w:tr>
    </w:tbl>
    <w:p>
      <w:pPr>
        <w:pStyle w:val="Heading1"/>
      </w:pPr>
      <w:r>
        <w:t>Action Items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Action</w:t>
            </w:r>
          </w:p>
        </w:tc>
        <w:tc>
          <w:tcPr>
            <w:tcW w:type="dxa" w:w="2556"/>
            <w:shd w:fill="4472C4"/>
          </w:tcPr>
          <w:p>
            <w:r>
              <w:rPr>
                <w:b/>
                <w:color w:val="FFFFFF"/>
                <w:sz w:val="16"/>
              </w:rPr>
              <w:t>Owner</w:t>
            </w:r>
          </w:p>
        </w:tc>
        <w:tc>
          <w:tcPr>
            <w:tcW w:type="dxa" w:w="2556"/>
            <w:shd w:fill="4472C4"/>
          </w:tcPr>
          <w:p>
            <w:r>
              <w:rPr>
                <w:b/>
                <w:color w:val="FFFFFF"/>
                <w:sz w:val="16"/>
              </w:rPr>
              <w:t>Due</w:t>
            </w:r>
          </w:p>
        </w:tc>
        <w:tc>
          <w:tcPr>
            <w:tcW w:type="dxa" w:w="2556"/>
            <w:shd w:fill="4472C4"/>
          </w:tcPr>
          <w:p>
            <w:r>
              <w:rPr>
                <w:b/>
                <w:color w:val="FFFFFF"/>
                <w:sz w:val="16"/>
              </w:rPr>
              <w:t>Status</w:t>
            </w:r>
          </w:p>
        </w:tc>
      </w:tr>
      <w:tr>
        <w:tc>
          <w:tcPr>
            <w:tcW w:type="dxa" w:w="2556"/>
            <w:vAlign w:val="center"/>
          </w:tcPr>
          <w:p>
            <w:r>
              <w:rPr>
                <w:sz w:val="16"/>
              </w:rPr>
              <w:t>Complete high-defect regression tests</w:t>
            </w:r>
          </w:p>
        </w:tc>
        <w:tc>
          <w:tcPr>
            <w:tcW w:type="dxa" w:w="2556"/>
            <w:vAlign w:val="center"/>
          </w:tcPr>
          <w:p>
            <w:r>
              <w:rPr>
                <w:sz w:val="16"/>
              </w:rPr>
              <w:t>QA Lead</w:t>
            </w:r>
          </w:p>
        </w:tc>
        <w:tc>
          <w:tcPr>
            <w:tcW w:type="dxa" w:w="2556"/>
            <w:vAlign w:val="center"/>
          </w:tcPr>
          <w:p>
            <w:r>
              <w:rPr>
                <w:sz w:val="16"/>
              </w:rPr>
              <w:t>Mar 2, 2026</w:t>
            </w:r>
          </w:p>
        </w:tc>
        <w:tc>
          <w:tcPr>
            <w:tcW w:type="dxa" w:w="2556"/>
            <w:vAlign w:val="center"/>
          </w:tcPr>
          <w:p>
            <w:r>
              <w:rPr>
                <w:sz w:val="16"/>
              </w:rPr>
              <w:t>Complete</w:t>
            </w:r>
          </w:p>
        </w:tc>
      </w:tr>
      <w:tr>
        <w:tc>
          <w:tcPr>
            <w:tcW w:type="dxa" w:w="2556"/>
            <w:vAlign w:val="center"/>
          </w:tcPr>
          <w:p>
            <w:r>
              <w:rPr>
                <w:sz w:val="16"/>
              </w:rPr>
              <w:t>Publish final migration reconciliation report</w:t>
            </w:r>
          </w:p>
        </w:tc>
        <w:tc>
          <w:tcPr>
            <w:tcW w:type="dxa" w:w="2556"/>
            <w:vAlign w:val="center"/>
          </w:tcPr>
          <w:p>
            <w:r>
              <w:rPr>
                <w:sz w:val="16"/>
              </w:rPr>
              <w:t>Data Lead</w:t>
            </w:r>
          </w:p>
        </w:tc>
        <w:tc>
          <w:tcPr>
            <w:tcW w:type="dxa" w:w="2556"/>
            <w:vAlign w:val="center"/>
          </w:tcPr>
          <w:p>
            <w:r>
              <w:rPr>
                <w:sz w:val="16"/>
              </w:rPr>
              <w:t>Mar 3, 2026</w:t>
            </w:r>
          </w:p>
        </w:tc>
        <w:tc>
          <w:tcPr>
            <w:tcW w:type="dxa" w:w="2556"/>
            <w:vAlign w:val="center"/>
          </w:tcPr>
          <w:p>
            <w:r>
              <w:rPr>
                <w:sz w:val="16"/>
              </w:rPr>
              <w:t>Complete</w:t>
            </w:r>
          </w:p>
        </w:tc>
      </w:tr>
      <w:tr>
        <w:tc>
          <w:tcPr>
            <w:tcW w:type="dxa" w:w="2556"/>
            <w:vAlign w:val="center"/>
          </w:tcPr>
          <w:p>
            <w:r>
              <w:rPr>
                <w:sz w:val="16"/>
              </w:rPr>
              <w:t>Confirm training completion by role</w:t>
            </w:r>
          </w:p>
        </w:tc>
        <w:tc>
          <w:tcPr>
            <w:tcW w:type="dxa" w:w="2556"/>
            <w:vAlign w:val="center"/>
          </w:tcPr>
          <w:p>
            <w:r>
              <w:rPr>
                <w:sz w:val="16"/>
              </w:rPr>
              <w:t>Change Lead</w:t>
            </w:r>
          </w:p>
        </w:tc>
        <w:tc>
          <w:tcPr>
            <w:tcW w:type="dxa" w:w="2556"/>
            <w:vAlign w:val="center"/>
          </w:tcPr>
          <w:p>
            <w:r>
              <w:rPr>
                <w:sz w:val="16"/>
              </w:rPr>
              <w:t>Mar 5, 2026</w:t>
            </w:r>
          </w:p>
        </w:tc>
        <w:tc>
          <w:tcPr>
            <w:tcW w:type="dxa" w:w="2556"/>
            <w:vAlign w:val="center"/>
          </w:tcPr>
          <w:p>
            <w:r>
              <w:rPr>
                <w:sz w:val="16"/>
              </w:rPr>
              <w:t>Complete</w:t>
            </w:r>
          </w:p>
        </w:tc>
      </w:tr>
      <w:tr>
        <w:tc>
          <w:tcPr>
            <w:tcW w:type="dxa" w:w="2556"/>
            <w:vAlign w:val="center"/>
          </w:tcPr>
          <w:p>
            <w:r>
              <w:rPr>
                <w:sz w:val="16"/>
              </w:rPr>
              <w:t>Prepare UAT sign-off package</w:t>
            </w:r>
          </w:p>
        </w:tc>
        <w:tc>
          <w:tcPr>
            <w:tcW w:type="dxa" w:w="2556"/>
            <w:vAlign w:val="center"/>
          </w:tcPr>
          <w:p>
            <w:r>
              <w:rPr>
                <w:sz w:val="16"/>
              </w:rPr>
              <w:t>Project Coordinator</w:t>
            </w:r>
          </w:p>
        </w:tc>
        <w:tc>
          <w:tcPr>
            <w:tcW w:type="dxa" w:w="2556"/>
            <w:vAlign w:val="center"/>
          </w:tcPr>
          <w:p>
            <w:r>
              <w:rPr>
                <w:sz w:val="16"/>
              </w:rPr>
              <w:t>Mar 6, 2026</w:t>
            </w:r>
          </w:p>
        </w:tc>
        <w:tc>
          <w:tcPr>
            <w:tcW w:type="dxa" w:w="2556"/>
            <w:vAlign w:val="center"/>
          </w:tcPr>
          <w:p>
            <w:r>
              <w:rPr>
                <w:sz w:val="16"/>
              </w:rPr>
              <w:t>Complete</w:t>
            </w:r>
          </w:p>
        </w:tc>
      </w:tr>
    </w:tbl>
    <w:sectPr w:rsidR="00FC693F" w:rsidRPr="0006063C" w:rsidSect="00034616">
      <w:head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Salesforce CRM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