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Salesforce CRM Implementation</w:t>
      </w:r>
    </w:p>
    <w:p>
      <w:pPr>
        <w:jc w:val="center"/>
      </w:pPr>
      <w:r>
        <w:rPr>
          <w:color w:val="5A5A5A"/>
          <w:sz w:val="20"/>
        </w:rPr>
        <w:t>Project Charter &amp; Management Plan | Simulated Portfolio Case Study</w:t>
      </w:r>
    </w:p>
    <w:p>
      <w:r>
        <w:rPr>
          <w:b/>
        </w:rPr>
        <w:t xml:space="preserve">Portfolio disclosure: </w:t>
      </w:r>
      <w:r>
        <w:t>This is a simulated Salesforce implementation created to demonstrate project-coordination practices.</w:t>
      </w:r>
    </w:p>
    <w:p>
      <w:pPr>
        <w:pStyle w:val="Heading1"/>
      </w:pPr>
      <w:r>
        <w:t>1. Executive Summary</w:t>
      </w:r>
    </w:p>
    <w:p>
      <w:r>
        <w:t>This project coordinates a simulated Salesforce CRM implementation for Sales, Marketing, and Operations. The Project Coordinator manages governance, requirements, configuration tracking, data migration, integrations, testing, user training, cutover, hypercare, risk management, budget monitoring, and executive reporting.</w:t>
      </w:r>
    </w:p>
    <w:p>
      <w:pPr>
        <w:pStyle w:val="Heading1"/>
      </w:pPr>
      <w:r>
        <w:t>2. Business Need</w:t>
      </w:r>
    </w:p>
    <w:p>
      <w:r>
        <w:t>The organization is replacing fragmented legacy CRM processes with Salesforce to improve customer-data visibility, standardize lead and opportunity management, strengthen reporting, and provide a shared system of record across revenue teams.</w:t>
      </w:r>
    </w:p>
    <w:p>
      <w:pPr>
        <w:pStyle w:val="Heading1"/>
      </w:pPr>
      <w:r>
        <w:t>3. Objectives</w:t>
      </w:r>
    </w:p>
    <w:p>
      <w:r>
        <w:t>Approve 60 prioritized requirements; complete 72 configuration items; migrate legacy CRM data with at least 99% final success; achieve at least 97% UAT pass rate; complete at least 95% of training; reach at least 95% login adoption; close all critical defects before hypercare exit; complete all milestones; and remain within the $150,000 baseline budget.</w:t>
      </w:r>
    </w:p>
    <w:p>
      <w:pPr>
        <w:pStyle w:val="Heading1"/>
      </w:pPr>
      <w:r>
        <w:t>4. Scope</w:t>
      </w:r>
    </w:p>
    <w:p>
      <w:r>
        <w:t>In scope: discovery, requirements, solution design, Sales Cloud configuration, profiles and permissions, legacy data migration, email/calendar and marketing handoffs, SIT, UAT, training, cutover, hypercare, adoption reporting, and closeout. Out of scope: custom Salesforce product development, CPQ implementation, ERP replacement, and production customer data.</w:t>
      </w:r>
    </w:p>
    <w:p>
      <w:pPr>
        <w:pStyle w:val="Heading1"/>
      </w:pPr>
      <w:r>
        <w:t>5. Success Measures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Metric</w:t>
            </w:r>
          </w:p>
        </w:tc>
        <w:tc>
          <w:tcPr>
            <w:tcW w:type="dxa" w:w="2556"/>
            <w:shd w:fill="4472C4"/>
          </w:tcPr>
          <w:p>
            <w:r>
              <w:rPr>
                <w:b/>
                <w:color w:val="FFFFFF"/>
                <w:sz w:val="16"/>
              </w:rPr>
              <w:t>Target</w:t>
            </w:r>
          </w:p>
        </w:tc>
        <w:tc>
          <w:tcPr>
            <w:tcW w:type="dxa" w:w="2556"/>
            <w:shd w:fill="4472C4"/>
          </w:tcPr>
          <w:p>
            <w:r>
              <w:rPr>
                <w:b/>
                <w:color w:val="FFFFFF"/>
                <w:sz w:val="16"/>
              </w:rPr>
              <w:t>Simulated Result</w:t>
            </w:r>
          </w:p>
        </w:tc>
        <w:tc>
          <w:tcPr>
            <w:tcW w:type="dxa" w:w="2556"/>
            <w:shd w:fill="4472C4"/>
          </w:tcPr>
          <w:p>
            <w:r>
              <w:rPr>
                <w:b/>
                <w:color w:val="FFFFFF"/>
                <w:sz w:val="16"/>
              </w:rPr>
              <w:t>Status</w:t>
            </w:r>
          </w:p>
        </w:tc>
      </w:tr>
      <w:tr>
        <w:tc>
          <w:tcPr>
            <w:tcW w:type="dxa" w:w="2556"/>
            <w:vAlign w:val="center"/>
          </w:tcPr>
          <w:p>
            <w:r>
              <w:rPr>
                <w:sz w:val="16"/>
              </w:rPr>
              <w:t>Requirements approved</w:t>
            </w:r>
          </w:p>
        </w:tc>
        <w:tc>
          <w:tcPr>
            <w:tcW w:type="dxa" w:w="2556"/>
            <w:vAlign w:val="center"/>
          </w:tcPr>
          <w:p>
            <w:r>
              <w:rPr>
                <w:sz w:val="16"/>
              </w:rPr>
              <w:t>60</w:t>
            </w:r>
          </w:p>
        </w:tc>
        <w:tc>
          <w:tcPr>
            <w:tcW w:type="dxa" w:w="2556"/>
            <w:vAlign w:val="center"/>
          </w:tcPr>
          <w:p>
            <w:r>
              <w:rPr>
                <w:sz w:val="16"/>
              </w:rPr>
              <w:t>60</w:t>
            </w:r>
          </w:p>
        </w:tc>
        <w:tc>
          <w:tcPr>
            <w:tcW w:type="dxa" w:w="2556"/>
            <w:vAlign w:val="center"/>
          </w:tcPr>
          <w:p>
            <w:r>
              <w:rPr>
                <w:sz w:val="16"/>
              </w:rPr>
              <w:t>Met</w:t>
            </w:r>
          </w:p>
        </w:tc>
      </w:tr>
      <w:tr>
        <w:tc>
          <w:tcPr>
            <w:tcW w:type="dxa" w:w="2556"/>
            <w:vAlign w:val="center"/>
          </w:tcPr>
          <w:p>
            <w:r>
              <w:rPr>
                <w:sz w:val="16"/>
              </w:rPr>
              <w:t>Configuration items</w:t>
            </w:r>
          </w:p>
        </w:tc>
        <w:tc>
          <w:tcPr>
            <w:tcW w:type="dxa" w:w="2556"/>
            <w:vAlign w:val="center"/>
          </w:tcPr>
          <w:p>
            <w:r>
              <w:rPr>
                <w:sz w:val="16"/>
              </w:rPr>
              <w:t>72</w:t>
            </w:r>
          </w:p>
        </w:tc>
        <w:tc>
          <w:tcPr>
            <w:tcW w:type="dxa" w:w="2556"/>
            <w:vAlign w:val="center"/>
          </w:tcPr>
          <w:p>
            <w:r>
              <w:rPr>
                <w:sz w:val="16"/>
              </w:rPr>
              <w:t>72</w:t>
            </w:r>
          </w:p>
        </w:tc>
        <w:tc>
          <w:tcPr>
            <w:tcW w:type="dxa" w:w="2556"/>
            <w:vAlign w:val="center"/>
          </w:tcPr>
          <w:p>
            <w:r>
              <w:rPr>
                <w:sz w:val="16"/>
              </w:rPr>
              <w:t>Met</w:t>
            </w:r>
          </w:p>
        </w:tc>
      </w:tr>
      <w:tr>
        <w:tc>
          <w:tcPr>
            <w:tcW w:type="dxa" w:w="2556"/>
            <w:vAlign w:val="center"/>
          </w:tcPr>
          <w:p>
            <w:r>
              <w:rPr>
                <w:sz w:val="16"/>
              </w:rPr>
              <w:t>Final migration success</w:t>
            </w:r>
          </w:p>
        </w:tc>
        <w:tc>
          <w:tcPr>
            <w:tcW w:type="dxa" w:w="2556"/>
            <w:vAlign w:val="center"/>
          </w:tcPr>
          <w:p>
            <w:r>
              <w:rPr>
                <w:sz w:val="16"/>
              </w:rPr>
              <w:t>&gt;=99%</w:t>
            </w:r>
          </w:p>
        </w:tc>
        <w:tc>
          <w:tcPr>
            <w:tcW w:type="dxa" w:w="2556"/>
            <w:vAlign w:val="center"/>
          </w:tcPr>
          <w:p>
            <w:r>
              <w:rPr>
                <w:sz w:val="16"/>
              </w:rPr>
              <w:t>99.4%</w:t>
            </w:r>
          </w:p>
        </w:tc>
        <w:tc>
          <w:tcPr>
            <w:tcW w:type="dxa" w:w="2556"/>
            <w:vAlign w:val="center"/>
          </w:tcPr>
          <w:p>
            <w:r>
              <w:rPr>
                <w:sz w:val="16"/>
              </w:rPr>
              <w:t>Met</w:t>
            </w:r>
          </w:p>
        </w:tc>
      </w:tr>
      <w:tr>
        <w:tc>
          <w:tcPr>
            <w:tcW w:type="dxa" w:w="2556"/>
            <w:vAlign w:val="center"/>
          </w:tcPr>
          <w:p>
            <w:r>
              <w:rPr>
                <w:sz w:val="16"/>
              </w:rPr>
              <w:t>UAT pass rate</w:t>
            </w:r>
          </w:p>
        </w:tc>
        <w:tc>
          <w:tcPr>
            <w:tcW w:type="dxa" w:w="2556"/>
            <w:vAlign w:val="center"/>
          </w:tcPr>
          <w:p>
            <w:r>
              <w:rPr>
                <w:sz w:val="16"/>
              </w:rPr>
              <w:t>&gt;=97%</w:t>
            </w:r>
          </w:p>
        </w:tc>
        <w:tc>
          <w:tcPr>
            <w:tcW w:type="dxa" w:w="2556"/>
            <w:vAlign w:val="center"/>
          </w:tcPr>
          <w:p>
            <w:r>
              <w:rPr>
                <w:sz w:val="16"/>
              </w:rPr>
              <w:t>98.2%</w:t>
            </w:r>
          </w:p>
        </w:tc>
        <w:tc>
          <w:tcPr>
            <w:tcW w:type="dxa" w:w="2556"/>
            <w:vAlign w:val="center"/>
          </w:tcPr>
          <w:p>
            <w:r>
              <w:rPr>
                <w:sz w:val="16"/>
              </w:rPr>
              <w:t>Met</w:t>
            </w:r>
          </w:p>
        </w:tc>
      </w:tr>
      <w:tr>
        <w:tc>
          <w:tcPr>
            <w:tcW w:type="dxa" w:w="2556"/>
            <w:vAlign w:val="center"/>
          </w:tcPr>
          <w:p>
            <w:r>
              <w:rPr>
                <w:sz w:val="16"/>
              </w:rPr>
              <w:t>Training completion</w:t>
            </w:r>
          </w:p>
        </w:tc>
        <w:tc>
          <w:tcPr>
            <w:tcW w:type="dxa" w:w="2556"/>
            <w:vAlign w:val="center"/>
          </w:tcPr>
          <w:p>
            <w:r>
              <w:rPr>
                <w:sz w:val="16"/>
              </w:rPr>
              <w:t>&gt;=95%</w:t>
            </w:r>
          </w:p>
        </w:tc>
        <w:tc>
          <w:tcPr>
            <w:tcW w:type="dxa" w:w="2556"/>
            <w:vAlign w:val="center"/>
          </w:tcPr>
          <w:p>
            <w:r>
              <w:rPr>
                <w:sz w:val="16"/>
              </w:rPr>
              <w:t>98%</w:t>
            </w:r>
          </w:p>
        </w:tc>
        <w:tc>
          <w:tcPr>
            <w:tcW w:type="dxa" w:w="2556"/>
            <w:vAlign w:val="center"/>
          </w:tcPr>
          <w:p>
            <w:r>
              <w:rPr>
                <w:sz w:val="16"/>
              </w:rPr>
              <w:t>Met</w:t>
            </w:r>
          </w:p>
        </w:tc>
      </w:tr>
      <w:tr>
        <w:tc>
          <w:tcPr>
            <w:tcW w:type="dxa" w:w="2556"/>
            <w:vAlign w:val="center"/>
          </w:tcPr>
          <w:p>
            <w:r>
              <w:rPr>
                <w:sz w:val="16"/>
              </w:rPr>
              <w:t>Login adoption</w:t>
            </w:r>
          </w:p>
        </w:tc>
        <w:tc>
          <w:tcPr>
            <w:tcW w:type="dxa" w:w="2556"/>
            <w:vAlign w:val="center"/>
          </w:tcPr>
          <w:p>
            <w:r>
              <w:rPr>
                <w:sz w:val="16"/>
              </w:rPr>
              <w:t>&gt;=95%</w:t>
            </w:r>
          </w:p>
        </w:tc>
        <w:tc>
          <w:tcPr>
            <w:tcW w:type="dxa" w:w="2556"/>
            <w:vAlign w:val="center"/>
          </w:tcPr>
          <w:p>
            <w:r>
              <w:rPr>
                <w:sz w:val="16"/>
              </w:rPr>
              <w:t>98.6%</w:t>
            </w:r>
          </w:p>
        </w:tc>
        <w:tc>
          <w:tcPr>
            <w:tcW w:type="dxa" w:w="2556"/>
            <w:vAlign w:val="center"/>
          </w:tcPr>
          <w:p>
            <w:r>
              <w:rPr>
                <w:sz w:val="16"/>
              </w:rPr>
              <w:t>Met</w:t>
            </w:r>
          </w:p>
        </w:tc>
      </w:tr>
      <w:tr>
        <w:tc>
          <w:tcPr>
            <w:tcW w:type="dxa" w:w="2556"/>
            <w:vAlign w:val="center"/>
          </w:tcPr>
          <w:p>
            <w:r>
              <w:rPr>
                <w:sz w:val="16"/>
              </w:rPr>
              <w:t>Open defects at hypercare exit</w:t>
            </w:r>
          </w:p>
        </w:tc>
        <w:tc>
          <w:tcPr>
            <w:tcW w:type="dxa" w:w="2556"/>
            <w:vAlign w:val="center"/>
          </w:tcPr>
          <w:p>
            <w:r>
              <w:rPr>
                <w:sz w:val="16"/>
              </w:rPr>
              <w:t>0</w:t>
            </w:r>
          </w:p>
        </w:tc>
        <w:tc>
          <w:tcPr>
            <w:tcW w:type="dxa" w:w="2556"/>
            <w:vAlign w:val="center"/>
          </w:tcPr>
          <w:p>
            <w:r>
              <w:rPr>
                <w:sz w:val="16"/>
              </w:rPr>
              <w:t>0</w:t>
            </w:r>
          </w:p>
        </w:tc>
        <w:tc>
          <w:tcPr>
            <w:tcW w:type="dxa" w:w="2556"/>
            <w:vAlign w:val="center"/>
          </w:tcPr>
          <w:p>
            <w:r>
              <w:rPr>
                <w:sz w:val="16"/>
              </w:rPr>
              <w:t>Met</w:t>
            </w:r>
          </w:p>
        </w:tc>
      </w:tr>
      <w:tr>
        <w:tc>
          <w:tcPr>
            <w:tcW w:type="dxa" w:w="2556"/>
            <w:vAlign w:val="center"/>
          </w:tcPr>
          <w:p>
            <w:r>
              <w:rPr>
                <w:sz w:val="16"/>
              </w:rPr>
              <w:t>Budget</w:t>
            </w:r>
          </w:p>
        </w:tc>
        <w:tc>
          <w:tcPr>
            <w:tcW w:type="dxa" w:w="2556"/>
            <w:vAlign w:val="center"/>
          </w:tcPr>
          <w:p>
            <w:r>
              <w:rPr>
                <w:sz w:val="16"/>
              </w:rPr>
              <w:t>&lt;=$150,000</w:t>
            </w:r>
          </w:p>
        </w:tc>
        <w:tc>
          <w:tcPr>
            <w:tcW w:type="dxa" w:w="2556"/>
            <w:vAlign w:val="center"/>
          </w:tcPr>
          <w:p>
            <w:r>
              <w:rPr>
                <w:sz w:val="16"/>
              </w:rPr>
              <w:t>$148,400</w:t>
            </w:r>
          </w:p>
        </w:tc>
        <w:tc>
          <w:tcPr>
            <w:tcW w:type="dxa" w:w="2556"/>
            <w:vAlign w:val="center"/>
          </w:tcPr>
          <w:p>
            <w:r>
              <w:rPr>
                <w:sz w:val="16"/>
              </w:rPr>
              <w:t>Met</w:t>
            </w:r>
          </w:p>
        </w:tc>
      </w:tr>
    </w:tbl>
    <w:p>
      <w:pPr>
        <w:pStyle w:val="Heading1"/>
      </w:pPr>
      <w:r>
        <w:t>6. Workstreams &amp;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472C4"/>
          </w:tcPr>
          <w:p>
            <w:r>
              <w:rPr>
                <w:b/>
                <w:color w:val="FFFFFF"/>
                <w:sz w:val="16"/>
              </w:rPr>
              <w:t>Workstream</w:t>
            </w:r>
          </w:p>
        </w:tc>
        <w:tc>
          <w:tcPr>
            <w:tcW w:type="dxa" w:w="3408"/>
            <w:shd w:fill="4472C4"/>
          </w:tcPr>
          <w:p>
            <w:r>
              <w:rPr>
                <w:b/>
                <w:color w:val="FFFFFF"/>
                <w:sz w:val="16"/>
              </w:rPr>
              <w:t>Deliverables</w:t>
            </w:r>
          </w:p>
        </w:tc>
        <w:tc>
          <w:tcPr>
            <w:tcW w:type="dxa" w:w="3408"/>
            <w:shd w:fill="4472C4"/>
          </w:tcPr>
          <w:p>
            <w:r>
              <w:rPr>
                <w:b/>
                <w:color w:val="FFFFFF"/>
                <w:sz w:val="16"/>
              </w:rPr>
              <w:t>Primary Owner</w:t>
            </w:r>
          </w:p>
        </w:tc>
      </w:tr>
      <w:tr>
        <w:tc>
          <w:tcPr>
            <w:tcW w:type="dxa" w:w="3408"/>
            <w:vAlign w:val="center"/>
          </w:tcPr>
          <w:p>
            <w:r>
              <w:rPr>
                <w:sz w:val="16"/>
              </w:rPr>
              <w:t>Governance</w:t>
            </w:r>
          </w:p>
        </w:tc>
        <w:tc>
          <w:tcPr>
            <w:tcW w:type="dxa" w:w="3408"/>
            <w:vAlign w:val="center"/>
          </w:tcPr>
          <w:p>
            <w:r>
              <w:rPr>
                <w:sz w:val="16"/>
              </w:rPr>
              <w:t>Charter, status cadence, RAID, change log, closeout</w:t>
            </w:r>
          </w:p>
        </w:tc>
        <w:tc>
          <w:tcPr>
            <w:tcW w:type="dxa" w:w="3408"/>
            <w:vAlign w:val="center"/>
          </w:tcPr>
          <w:p>
            <w:r>
              <w:rPr>
                <w:sz w:val="16"/>
              </w:rPr>
              <w:t>Project Coordinator</w:t>
            </w:r>
          </w:p>
        </w:tc>
      </w:tr>
      <w:tr>
        <w:tc>
          <w:tcPr>
            <w:tcW w:type="dxa" w:w="3408"/>
            <w:vAlign w:val="center"/>
          </w:tcPr>
          <w:p>
            <w:r>
              <w:rPr>
                <w:sz w:val="16"/>
              </w:rPr>
              <w:t>Requirements</w:t>
            </w:r>
          </w:p>
        </w:tc>
        <w:tc>
          <w:tcPr>
            <w:tcW w:type="dxa" w:w="3408"/>
            <w:vAlign w:val="center"/>
          </w:tcPr>
          <w:p>
            <w:r>
              <w:rPr>
                <w:sz w:val="16"/>
              </w:rPr>
              <w:t>Stakeholder interviews, requirements backlog, acceptance criteria</w:t>
            </w:r>
          </w:p>
        </w:tc>
        <w:tc>
          <w:tcPr>
            <w:tcW w:type="dxa" w:w="3408"/>
            <w:vAlign w:val="center"/>
          </w:tcPr>
          <w:p>
            <w:r>
              <w:rPr>
                <w:sz w:val="16"/>
              </w:rPr>
              <w:t>Business Analyst</w:t>
            </w:r>
          </w:p>
        </w:tc>
      </w:tr>
      <w:tr>
        <w:tc>
          <w:tcPr>
            <w:tcW w:type="dxa" w:w="3408"/>
            <w:vAlign w:val="center"/>
          </w:tcPr>
          <w:p>
            <w:r>
              <w:rPr>
                <w:sz w:val="16"/>
              </w:rPr>
              <w:t>Solution Design</w:t>
            </w:r>
          </w:p>
        </w:tc>
        <w:tc>
          <w:tcPr>
            <w:tcW w:type="dxa" w:w="3408"/>
            <w:vAlign w:val="center"/>
          </w:tcPr>
          <w:p>
            <w:r>
              <w:rPr>
                <w:sz w:val="16"/>
              </w:rPr>
              <w:t>Objects, fields, automation, security model</w:t>
            </w:r>
          </w:p>
        </w:tc>
        <w:tc>
          <w:tcPr>
            <w:tcW w:type="dxa" w:w="3408"/>
            <w:vAlign w:val="center"/>
          </w:tcPr>
          <w:p>
            <w:r>
              <w:rPr>
                <w:sz w:val="16"/>
              </w:rPr>
              <w:t>Solution Architect</w:t>
            </w:r>
          </w:p>
        </w:tc>
      </w:tr>
      <w:tr>
        <w:tc>
          <w:tcPr>
            <w:tcW w:type="dxa" w:w="3408"/>
            <w:vAlign w:val="center"/>
          </w:tcPr>
          <w:p>
            <w:r>
              <w:rPr>
                <w:sz w:val="16"/>
              </w:rPr>
              <w:t>Configuration</w:t>
            </w:r>
          </w:p>
        </w:tc>
        <w:tc>
          <w:tcPr>
            <w:tcW w:type="dxa" w:w="3408"/>
            <w:vAlign w:val="center"/>
          </w:tcPr>
          <w:p>
            <w:r>
              <w:rPr>
                <w:sz w:val="16"/>
              </w:rPr>
              <w:t>Sales Cloud setup, reports, dashboards, flows</w:t>
            </w:r>
          </w:p>
        </w:tc>
        <w:tc>
          <w:tcPr>
            <w:tcW w:type="dxa" w:w="3408"/>
            <w:vAlign w:val="center"/>
          </w:tcPr>
          <w:p>
            <w:r>
              <w:rPr>
                <w:sz w:val="16"/>
              </w:rPr>
              <w:t>Salesforce Admin</w:t>
            </w:r>
          </w:p>
        </w:tc>
      </w:tr>
      <w:tr>
        <w:tc>
          <w:tcPr>
            <w:tcW w:type="dxa" w:w="3408"/>
            <w:vAlign w:val="center"/>
          </w:tcPr>
          <w:p>
            <w:r>
              <w:rPr>
                <w:sz w:val="16"/>
              </w:rPr>
              <w:t>Data Migration</w:t>
            </w:r>
          </w:p>
        </w:tc>
        <w:tc>
          <w:tcPr>
            <w:tcW w:type="dxa" w:w="3408"/>
            <w:vAlign w:val="center"/>
          </w:tcPr>
          <w:p>
            <w:r>
              <w:rPr>
                <w:sz w:val="16"/>
              </w:rPr>
              <w:t>Profiling, mapping, cleansing, mock loads, reconciliation</w:t>
            </w:r>
          </w:p>
        </w:tc>
        <w:tc>
          <w:tcPr>
            <w:tcW w:type="dxa" w:w="3408"/>
            <w:vAlign w:val="center"/>
          </w:tcPr>
          <w:p>
            <w:r>
              <w:rPr>
                <w:sz w:val="16"/>
              </w:rPr>
              <w:t>Data Lead</w:t>
            </w:r>
          </w:p>
        </w:tc>
      </w:tr>
      <w:tr>
        <w:tc>
          <w:tcPr>
            <w:tcW w:type="dxa" w:w="3408"/>
            <w:vAlign w:val="center"/>
          </w:tcPr>
          <w:p>
            <w:r>
              <w:rPr>
                <w:sz w:val="16"/>
              </w:rPr>
              <w:t>Integration</w:t>
            </w:r>
          </w:p>
        </w:tc>
        <w:tc>
          <w:tcPr>
            <w:tcW w:type="dxa" w:w="3408"/>
            <w:vAlign w:val="center"/>
          </w:tcPr>
          <w:p>
            <w:r>
              <w:rPr>
                <w:sz w:val="16"/>
              </w:rPr>
              <w:t>Email/calendar and marketing system handoffs</w:t>
            </w:r>
          </w:p>
        </w:tc>
        <w:tc>
          <w:tcPr>
            <w:tcW w:type="dxa" w:w="3408"/>
            <w:vAlign w:val="center"/>
          </w:tcPr>
          <w:p>
            <w:r>
              <w:rPr>
                <w:sz w:val="16"/>
              </w:rPr>
              <w:t>Integration Lead</w:t>
            </w:r>
          </w:p>
        </w:tc>
      </w:tr>
      <w:tr>
        <w:tc>
          <w:tcPr>
            <w:tcW w:type="dxa" w:w="3408"/>
            <w:vAlign w:val="center"/>
          </w:tcPr>
          <w:p>
            <w:r>
              <w:rPr>
                <w:sz w:val="16"/>
              </w:rPr>
              <w:t>Testing</w:t>
            </w:r>
          </w:p>
        </w:tc>
        <w:tc>
          <w:tcPr>
            <w:tcW w:type="dxa" w:w="3408"/>
            <w:vAlign w:val="center"/>
          </w:tcPr>
          <w:p>
            <w:r>
              <w:rPr>
                <w:sz w:val="16"/>
              </w:rPr>
              <w:t>SIT, UAT, defect triage, regression</w:t>
            </w:r>
          </w:p>
        </w:tc>
        <w:tc>
          <w:tcPr>
            <w:tcW w:type="dxa" w:w="3408"/>
            <w:vAlign w:val="center"/>
          </w:tcPr>
          <w:p>
            <w:r>
              <w:rPr>
                <w:sz w:val="16"/>
              </w:rPr>
              <w:t>QA Lead / Project Coordinator</w:t>
            </w:r>
          </w:p>
        </w:tc>
      </w:tr>
      <w:tr>
        <w:tc>
          <w:tcPr>
            <w:tcW w:type="dxa" w:w="3408"/>
            <w:vAlign w:val="center"/>
          </w:tcPr>
          <w:p>
            <w:r>
              <w:rPr>
                <w:sz w:val="16"/>
              </w:rPr>
              <w:t>Training &amp; Adoption</w:t>
            </w:r>
          </w:p>
        </w:tc>
        <w:tc>
          <w:tcPr>
            <w:tcW w:type="dxa" w:w="3408"/>
            <w:vAlign w:val="center"/>
          </w:tcPr>
          <w:p>
            <w:r>
              <w:rPr>
                <w:sz w:val="16"/>
              </w:rPr>
              <w:t>Role-based training, champions, office hours, adoption KPIs</w:t>
            </w:r>
          </w:p>
        </w:tc>
        <w:tc>
          <w:tcPr>
            <w:tcW w:type="dxa" w:w="3408"/>
            <w:vAlign w:val="center"/>
          </w:tcPr>
          <w:p>
            <w:r>
              <w:rPr>
                <w:sz w:val="16"/>
              </w:rPr>
              <w:t>Change Lead</w:t>
            </w:r>
          </w:p>
        </w:tc>
      </w:tr>
      <w:tr>
        <w:tc>
          <w:tcPr>
            <w:tcW w:type="dxa" w:w="3408"/>
            <w:vAlign w:val="center"/>
          </w:tcPr>
          <w:p>
            <w:r>
              <w:rPr>
                <w:sz w:val="16"/>
              </w:rPr>
              <w:t>Cutover &amp; Hypercare</w:t>
            </w:r>
          </w:p>
        </w:tc>
        <w:tc>
          <w:tcPr>
            <w:tcW w:type="dxa" w:w="3408"/>
            <w:vAlign w:val="center"/>
          </w:tcPr>
          <w:p>
            <w:r>
              <w:rPr>
                <w:sz w:val="16"/>
              </w:rPr>
              <w:t>Cutover checklist, go-live, support, stabilization</w:t>
            </w:r>
          </w:p>
        </w:tc>
        <w:tc>
          <w:tcPr>
            <w:tcW w:type="dxa" w:w="3408"/>
            <w:vAlign w:val="center"/>
          </w:tcPr>
          <w:p>
            <w:r>
              <w:rPr>
                <w:sz w:val="16"/>
              </w:rPr>
              <w:t>Project Coordinator</w:t>
            </w:r>
          </w:p>
        </w:tc>
      </w:tr>
    </w:tbl>
    <w:p>
      <w:pPr>
        <w:pStyle w:val="Heading1"/>
      </w:pPr>
      <w:r>
        <w:t>7. Governance &amp; RACI</w:t>
      </w:r>
    </w:p>
    <w:p>
      <w:r>
        <w:t>Weekly implementation meetings review workstream progress, dependencies, RAID, defects, and changes. During UAT and cutover, defect/cutover huddles increase in frequency. Executive updates are delivered biweekly.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4472C4"/>
          </w:tcPr>
          <w:p>
            <w:r>
              <w:rPr>
                <w:b/>
                <w:color w:val="FFFFFF"/>
                <w:sz w:val="16"/>
              </w:rPr>
              <w:t>Activity</w:t>
            </w:r>
          </w:p>
        </w:tc>
        <w:tc>
          <w:tcPr>
            <w:tcW w:type="dxa" w:w="1278"/>
            <w:shd w:fill="4472C4"/>
          </w:tcPr>
          <w:p>
            <w:r>
              <w:rPr>
                <w:b/>
                <w:color w:val="FFFFFF"/>
                <w:sz w:val="16"/>
              </w:rPr>
              <w:t>Sponsor</w:t>
            </w:r>
          </w:p>
        </w:tc>
        <w:tc>
          <w:tcPr>
            <w:tcW w:type="dxa" w:w="1278"/>
            <w:shd w:fill="4472C4"/>
          </w:tcPr>
          <w:p>
            <w:r>
              <w:rPr>
                <w:b/>
                <w:color w:val="FFFFFF"/>
                <w:sz w:val="16"/>
              </w:rPr>
              <w:t>Project Coord.</w:t>
            </w:r>
          </w:p>
        </w:tc>
        <w:tc>
          <w:tcPr>
            <w:tcW w:type="dxa" w:w="1278"/>
            <w:shd w:fill="4472C4"/>
          </w:tcPr>
          <w:p>
            <w:r>
              <w:rPr>
                <w:b/>
                <w:color w:val="FFFFFF"/>
                <w:sz w:val="16"/>
              </w:rPr>
              <w:t>BA</w:t>
            </w:r>
          </w:p>
        </w:tc>
        <w:tc>
          <w:tcPr>
            <w:tcW w:type="dxa" w:w="1278"/>
            <w:shd w:fill="4472C4"/>
          </w:tcPr>
          <w:p>
            <w:r>
              <w:rPr>
                <w:b/>
                <w:color w:val="FFFFFF"/>
                <w:sz w:val="16"/>
              </w:rPr>
              <w:t>SF Admin</w:t>
            </w:r>
          </w:p>
        </w:tc>
        <w:tc>
          <w:tcPr>
            <w:tcW w:type="dxa" w:w="1278"/>
            <w:shd w:fill="4472C4"/>
          </w:tcPr>
          <w:p>
            <w:r>
              <w:rPr>
                <w:b/>
                <w:color w:val="FFFFFF"/>
                <w:sz w:val="16"/>
              </w:rPr>
              <w:t>Data</w:t>
            </w:r>
          </w:p>
        </w:tc>
        <w:tc>
          <w:tcPr>
            <w:tcW w:type="dxa" w:w="1278"/>
            <w:shd w:fill="4472C4"/>
          </w:tcPr>
          <w:p>
            <w:r>
              <w:rPr>
                <w:b/>
                <w:color w:val="FFFFFF"/>
                <w:sz w:val="16"/>
              </w:rPr>
              <w:t>QA</w:t>
            </w:r>
          </w:p>
        </w:tc>
        <w:tc>
          <w:tcPr>
            <w:tcW w:type="dxa" w:w="1278"/>
            <w:shd w:fill="4472C4"/>
          </w:tcPr>
          <w:p>
            <w:r>
              <w:rPr>
                <w:b/>
                <w:color w:val="FFFFFF"/>
                <w:sz w:val="16"/>
              </w:rPr>
              <w:t>Change</w:t>
            </w:r>
          </w:p>
        </w:tc>
      </w:tr>
      <w:tr>
        <w:tc>
          <w:tcPr>
            <w:tcW w:type="dxa" w:w="1278"/>
            <w:vAlign w:val="center"/>
          </w:tcPr>
          <w:p>
            <w:r>
              <w:rPr>
                <w:sz w:val="16"/>
              </w:rPr>
              <w:t>Charter</w:t>
            </w:r>
          </w:p>
        </w:tc>
        <w:tc>
          <w:tcPr>
            <w:tcW w:type="dxa" w:w="1278"/>
            <w:vAlign w:val="center"/>
          </w:tcPr>
          <w:p>
            <w:r>
              <w:rPr>
                <w:sz w:val="16"/>
              </w:rPr>
              <w:t>A</w:t>
            </w:r>
          </w:p>
        </w:tc>
        <w:tc>
          <w:tcPr>
            <w:tcW w:type="dxa" w:w="1278"/>
            <w:vAlign w:val="center"/>
          </w:tcPr>
          <w:p>
            <w:r>
              <w:rPr>
                <w:sz w:val="16"/>
              </w:rPr>
              <w:t>R</w:t>
            </w:r>
          </w:p>
        </w:tc>
        <w:tc>
          <w:tcPr>
            <w:tcW w:type="dxa" w:w="1278"/>
            <w:vAlign w:val="center"/>
          </w:tcPr>
          <w:p>
            <w:r>
              <w:rPr>
                <w:sz w:val="16"/>
              </w:rPr>
              <w:t>C</w:t>
            </w:r>
          </w:p>
        </w:tc>
        <w:tc>
          <w:tcPr>
            <w:tcW w:type="dxa" w:w="1278"/>
            <w:vAlign w:val="center"/>
          </w:tcPr>
          <w:p>
            <w:r>
              <w:rPr>
                <w:sz w:val="16"/>
              </w:rPr>
              <w:t>I</w:t>
            </w:r>
          </w:p>
        </w:tc>
        <w:tc>
          <w:tcPr>
            <w:tcW w:type="dxa" w:w="1278"/>
            <w:vAlign w:val="center"/>
          </w:tcPr>
          <w:p>
            <w:r>
              <w:rPr>
                <w:sz w:val="16"/>
              </w:rPr>
              <w:t>I</w:t>
            </w:r>
          </w:p>
        </w:tc>
        <w:tc>
          <w:tcPr>
            <w:tcW w:type="dxa" w:w="1278"/>
            <w:vAlign w:val="center"/>
          </w:tcPr>
          <w:p>
            <w:r>
              <w:rPr>
                <w:sz w:val="16"/>
              </w:rPr>
              <w:t>I</w:t>
            </w:r>
          </w:p>
        </w:tc>
        <w:tc>
          <w:tcPr>
            <w:tcW w:type="dxa" w:w="1278"/>
            <w:vAlign w:val="center"/>
          </w:tcPr>
          <w:p>
            <w:r>
              <w:rPr>
                <w:sz w:val="16"/>
              </w:rPr>
              <w:t>I</w:t>
            </w:r>
          </w:p>
        </w:tc>
      </w:tr>
      <w:tr>
        <w:tc>
          <w:tcPr>
            <w:tcW w:type="dxa" w:w="1278"/>
            <w:vAlign w:val="center"/>
          </w:tcPr>
          <w:p>
            <w:r>
              <w:rPr>
                <w:sz w:val="16"/>
              </w:rPr>
              <w:t>Requirements</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A/R</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I</w:t>
            </w:r>
          </w:p>
        </w:tc>
        <w:tc>
          <w:tcPr>
            <w:tcW w:type="dxa" w:w="1278"/>
            <w:vAlign w:val="center"/>
          </w:tcPr>
          <w:p>
            <w:r>
              <w:rPr>
                <w:sz w:val="16"/>
              </w:rPr>
              <w:t>I</w:t>
            </w:r>
          </w:p>
        </w:tc>
      </w:tr>
      <w:tr>
        <w:tc>
          <w:tcPr>
            <w:tcW w:type="dxa" w:w="1278"/>
            <w:vAlign w:val="center"/>
          </w:tcPr>
          <w:p>
            <w:r>
              <w:rPr>
                <w:sz w:val="16"/>
              </w:rPr>
              <w:t>Solution Design</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A/R</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I</w:t>
            </w:r>
          </w:p>
        </w:tc>
      </w:tr>
      <w:tr>
        <w:tc>
          <w:tcPr>
            <w:tcW w:type="dxa" w:w="1278"/>
            <w:vAlign w:val="center"/>
          </w:tcPr>
          <w:p>
            <w:r>
              <w:rPr>
                <w:sz w:val="16"/>
              </w:rPr>
              <w:t>Configuration</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A/R</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I</w:t>
            </w:r>
          </w:p>
        </w:tc>
      </w:tr>
      <w:tr>
        <w:tc>
          <w:tcPr>
            <w:tcW w:type="dxa" w:w="1278"/>
            <w:vAlign w:val="center"/>
          </w:tcPr>
          <w:p>
            <w:r>
              <w:rPr>
                <w:sz w:val="16"/>
              </w:rPr>
              <w:t>Migration</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A/R</w:t>
            </w:r>
          </w:p>
        </w:tc>
        <w:tc>
          <w:tcPr>
            <w:tcW w:type="dxa" w:w="1278"/>
            <w:vAlign w:val="center"/>
          </w:tcPr>
          <w:p>
            <w:r>
              <w:rPr>
                <w:sz w:val="16"/>
              </w:rPr>
              <w:t>C</w:t>
            </w:r>
          </w:p>
        </w:tc>
        <w:tc>
          <w:tcPr>
            <w:tcW w:type="dxa" w:w="1278"/>
            <w:vAlign w:val="center"/>
          </w:tcPr>
          <w:p>
            <w:r>
              <w:rPr>
                <w:sz w:val="16"/>
              </w:rPr>
              <w:t>I</w:t>
            </w:r>
          </w:p>
        </w:tc>
      </w:tr>
      <w:tr>
        <w:tc>
          <w:tcPr>
            <w:tcW w:type="dxa" w:w="1278"/>
            <w:vAlign w:val="center"/>
          </w:tcPr>
          <w:p>
            <w:r>
              <w:rPr>
                <w:sz w:val="16"/>
              </w:rPr>
              <w:t>UAT</w:t>
            </w:r>
          </w:p>
        </w:tc>
        <w:tc>
          <w:tcPr>
            <w:tcW w:type="dxa" w:w="1278"/>
            <w:vAlign w:val="center"/>
          </w:tcPr>
          <w:p>
            <w:r>
              <w:rPr>
                <w:sz w:val="16"/>
              </w:rPr>
              <w:t>I</w:t>
            </w:r>
          </w:p>
        </w:tc>
        <w:tc>
          <w:tcPr>
            <w:tcW w:type="dxa" w:w="1278"/>
            <w:vAlign w:val="center"/>
          </w:tcPr>
          <w:p>
            <w:r>
              <w:rPr>
                <w:sz w:val="16"/>
              </w:rPr>
              <w:t>A/R</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R</w:t>
            </w:r>
          </w:p>
        </w:tc>
        <w:tc>
          <w:tcPr>
            <w:tcW w:type="dxa" w:w="1278"/>
            <w:vAlign w:val="center"/>
          </w:tcPr>
          <w:p>
            <w:r>
              <w:rPr>
                <w:sz w:val="16"/>
              </w:rPr>
              <w:t>I</w:t>
            </w:r>
          </w:p>
        </w:tc>
      </w:tr>
      <w:tr>
        <w:tc>
          <w:tcPr>
            <w:tcW w:type="dxa" w:w="1278"/>
            <w:vAlign w:val="center"/>
          </w:tcPr>
          <w:p>
            <w:r>
              <w:rPr>
                <w:sz w:val="16"/>
              </w:rPr>
              <w:t>Training</w:t>
            </w:r>
          </w:p>
        </w:tc>
        <w:tc>
          <w:tcPr>
            <w:tcW w:type="dxa" w:w="1278"/>
            <w:vAlign w:val="center"/>
          </w:tcPr>
          <w:p>
            <w:r>
              <w:rPr>
                <w:sz w:val="16"/>
              </w:rPr>
              <w:t>I</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C</w:t>
            </w:r>
          </w:p>
        </w:tc>
        <w:tc>
          <w:tcPr>
            <w:tcW w:type="dxa" w:w="1278"/>
            <w:vAlign w:val="center"/>
          </w:tcPr>
          <w:p>
            <w:r>
              <w:rPr>
                <w:sz w:val="16"/>
              </w:rPr>
              <w:t>I</w:t>
            </w:r>
          </w:p>
        </w:tc>
        <w:tc>
          <w:tcPr>
            <w:tcW w:type="dxa" w:w="1278"/>
            <w:vAlign w:val="center"/>
          </w:tcPr>
          <w:p>
            <w:r>
              <w:rPr>
                <w:sz w:val="16"/>
              </w:rPr>
              <w:t>I</w:t>
            </w:r>
          </w:p>
        </w:tc>
        <w:tc>
          <w:tcPr>
            <w:tcW w:type="dxa" w:w="1278"/>
            <w:vAlign w:val="center"/>
          </w:tcPr>
          <w:p>
            <w:r>
              <w:rPr>
                <w:sz w:val="16"/>
              </w:rPr>
              <w:t>A/R</w:t>
            </w:r>
          </w:p>
        </w:tc>
      </w:tr>
      <w:tr>
        <w:tc>
          <w:tcPr>
            <w:tcW w:type="dxa" w:w="1278"/>
            <w:vAlign w:val="center"/>
          </w:tcPr>
          <w:p>
            <w:r>
              <w:rPr>
                <w:sz w:val="16"/>
              </w:rPr>
              <w:t>Cutover</w:t>
            </w:r>
          </w:p>
        </w:tc>
        <w:tc>
          <w:tcPr>
            <w:tcW w:type="dxa" w:w="1278"/>
            <w:vAlign w:val="center"/>
          </w:tcPr>
          <w:p>
            <w:r>
              <w:rPr>
                <w:sz w:val="16"/>
              </w:rPr>
              <w:t>I</w:t>
            </w:r>
          </w:p>
        </w:tc>
        <w:tc>
          <w:tcPr>
            <w:tcW w:type="dxa" w:w="1278"/>
            <w:vAlign w:val="center"/>
          </w:tcPr>
          <w:p>
            <w:r>
              <w:rPr>
                <w:sz w:val="16"/>
              </w:rPr>
              <w:t>A/R</w:t>
            </w:r>
          </w:p>
        </w:tc>
        <w:tc>
          <w:tcPr>
            <w:tcW w:type="dxa" w:w="1278"/>
            <w:vAlign w:val="center"/>
          </w:tcPr>
          <w:p>
            <w:r>
              <w:rPr>
                <w:sz w:val="16"/>
              </w:rPr>
              <w:t>C</w:t>
            </w:r>
          </w:p>
        </w:tc>
        <w:tc>
          <w:tcPr>
            <w:tcW w:type="dxa" w:w="1278"/>
            <w:vAlign w:val="center"/>
          </w:tcPr>
          <w:p>
            <w:r>
              <w:rPr>
                <w:sz w:val="16"/>
              </w:rPr>
              <w:t>R</w:t>
            </w:r>
          </w:p>
        </w:tc>
        <w:tc>
          <w:tcPr>
            <w:tcW w:type="dxa" w:w="1278"/>
            <w:vAlign w:val="center"/>
          </w:tcPr>
          <w:p>
            <w:r>
              <w:rPr>
                <w:sz w:val="16"/>
              </w:rPr>
              <w:t>R</w:t>
            </w:r>
          </w:p>
        </w:tc>
        <w:tc>
          <w:tcPr>
            <w:tcW w:type="dxa" w:w="1278"/>
            <w:vAlign w:val="center"/>
          </w:tcPr>
          <w:p>
            <w:r>
              <w:rPr>
                <w:sz w:val="16"/>
              </w:rPr>
              <w:t>R</w:t>
            </w:r>
          </w:p>
        </w:tc>
        <w:tc>
          <w:tcPr>
            <w:tcW w:type="dxa" w:w="1278"/>
            <w:vAlign w:val="center"/>
          </w:tcPr>
          <w:p>
            <w:r>
              <w:rPr>
                <w:sz w:val="16"/>
              </w:rPr>
              <w:t>R</w:t>
            </w:r>
          </w:p>
        </w:tc>
      </w:tr>
    </w:tbl>
    <w:p>
      <w:pPr>
        <w:pStyle w:val="Heading1"/>
      </w:pPr>
      <w:r>
        <w:t>8. Schedule &amp; Milestones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Milestone</w:t>
            </w:r>
          </w:p>
        </w:tc>
        <w:tc>
          <w:tcPr>
            <w:tcW w:type="dxa" w:w="2556"/>
            <w:shd w:fill="4472C4"/>
          </w:tcPr>
          <w:p>
            <w:r>
              <w:rPr>
                <w:b/>
                <w:color w:val="FFFFFF"/>
                <w:sz w:val="16"/>
              </w:rPr>
              <w:t>Baseline</w:t>
            </w:r>
          </w:p>
        </w:tc>
        <w:tc>
          <w:tcPr>
            <w:tcW w:type="dxa" w:w="2556"/>
            <w:shd w:fill="4472C4"/>
          </w:tcPr>
          <w:p>
            <w:r>
              <w:rPr>
                <w:b/>
                <w:color w:val="FFFFFF"/>
                <w:sz w:val="16"/>
              </w:rPr>
              <w:t>Actual</w:t>
            </w:r>
          </w:p>
        </w:tc>
        <w:tc>
          <w:tcPr>
            <w:tcW w:type="dxa" w:w="2556"/>
            <w:shd w:fill="4472C4"/>
          </w:tcPr>
          <w:p>
            <w:r>
              <w:rPr>
                <w:b/>
                <w:color w:val="FFFFFF"/>
                <w:sz w:val="16"/>
              </w:rPr>
              <w:t>Variance</w:t>
            </w:r>
          </w:p>
        </w:tc>
      </w:tr>
      <w:tr>
        <w:tc>
          <w:tcPr>
            <w:tcW w:type="dxa" w:w="2556"/>
            <w:vAlign w:val="center"/>
          </w:tcPr>
          <w:p>
            <w:r>
              <w:rPr>
                <w:sz w:val="16"/>
              </w:rPr>
              <w:t>Charter Approved</w:t>
            </w:r>
          </w:p>
        </w:tc>
        <w:tc>
          <w:tcPr>
            <w:tcW w:type="dxa" w:w="2556"/>
            <w:vAlign w:val="center"/>
          </w:tcPr>
          <w:p>
            <w:r>
              <w:rPr>
                <w:sz w:val="16"/>
              </w:rPr>
              <w:t>Jan 7, 2026</w:t>
            </w:r>
          </w:p>
        </w:tc>
        <w:tc>
          <w:tcPr>
            <w:tcW w:type="dxa" w:w="2556"/>
            <w:vAlign w:val="center"/>
          </w:tcPr>
          <w:p>
            <w:r>
              <w:rPr>
                <w:sz w:val="16"/>
              </w:rPr>
              <w:t>Jan 7, 2026</w:t>
            </w:r>
          </w:p>
        </w:tc>
        <w:tc>
          <w:tcPr>
            <w:tcW w:type="dxa" w:w="2556"/>
            <w:vAlign w:val="center"/>
          </w:tcPr>
          <w:p>
            <w:r>
              <w:rPr>
                <w:sz w:val="16"/>
              </w:rPr>
              <w:t>0 days</w:t>
            </w:r>
          </w:p>
        </w:tc>
      </w:tr>
      <w:tr>
        <w:tc>
          <w:tcPr>
            <w:tcW w:type="dxa" w:w="2556"/>
            <w:vAlign w:val="center"/>
          </w:tcPr>
          <w:p>
            <w:r>
              <w:rPr>
                <w:sz w:val="16"/>
              </w:rPr>
              <w:t>Requirements Baseline</w:t>
            </w:r>
          </w:p>
        </w:tc>
        <w:tc>
          <w:tcPr>
            <w:tcW w:type="dxa" w:w="2556"/>
            <w:vAlign w:val="center"/>
          </w:tcPr>
          <w:p>
            <w:r>
              <w:rPr>
                <w:sz w:val="16"/>
              </w:rPr>
              <w:t>Jan 16, 2026</w:t>
            </w:r>
          </w:p>
        </w:tc>
        <w:tc>
          <w:tcPr>
            <w:tcW w:type="dxa" w:w="2556"/>
            <w:vAlign w:val="center"/>
          </w:tcPr>
          <w:p>
            <w:r>
              <w:rPr>
                <w:sz w:val="16"/>
              </w:rPr>
              <w:t>Jan 16, 2026</w:t>
            </w:r>
          </w:p>
        </w:tc>
        <w:tc>
          <w:tcPr>
            <w:tcW w:type="dxa" w:w="2556"/>
            <w:vAlign w:val="center"/>
          </w:tcPr>
          <w:p>
            <w:r>
              <w:rPr>
                <w:sz w:val="16"/>
              </w:rPr>
              <w:t>0 days</w:t>
            </w:r>
          </w:p>
        </w:tc>
      </w:tr>
      <w:tr>
        <w:tc>
          <w:tcPr>
            <w:tcW w:type="dxa" w:w="2556"/>
            <w:vAlign w:val="center"/>
          </w:tcPr>
          <w:p>
            <w:r>
              <w:rPr>
                <w:sz w:val="16"/>
              </w:rPr>
              <w:t>Solution Design Approved</w:t>
            </w:r>
          </w:p>
        </w:tc>
        <w:tc>
          <w:tcPr>
            <w:tcW w:type="dxa" w:w="2556"/>
            <w:vAlign w:val="center"/>
          </w:tcPr>
          <w:p>
            <w:r>
              <w:rPr>
                <w:sz w:val="16"/>
              </w:rPr>
              <w:t>Jan 23, 2026</w:t>
            </w:r>
          </w:p>
        </w:tc>
        <w:tc>
          <w:tcPr>
            <w:tcW w:type="dxa" w:w="2556"/>
            <w:vAlign w:val="center"/>
          </w:tcPr>
          <w:p>
            <w:r>
              <w:rPr>
                <w:sz w:val="16"/>
              </w:rPr>
              <w:t>Jan 24, 2026</w:t>
            </w:r>
          </w:p>
        </w:tc>
        <w:tc>
          <w:tcPr>
            <w:tcW w:type="dxa" w:w="2556"/>
            <w:vAlign w:val="center"/>
          </w:tcPr>
          <w:p>
            <w:r>
              <w:rPr>
                <w:sz w:val="16"/>
              </w:rPr>
              <w:t>+1 day</w:t>
            </w:r>
          </w:p>
        </w:tc>
      </w:tr>
      <w:tr>
        <w:tc>
          <w:tcPr>
            <w:tcW w:type="dxa" w:w="2556"/>
            <w:vAlign w:val="center"/>
          </w:tcPr>
          <w:p>
            <w:r>
              <w:rPr>
                <w:sz w:val="16"/>
              </w:rPr>
              <w:t>Build Complete</w:t>
            </w:r>
          </w:p>
        </w:tc>
        <w:tc>
          <w:tcPr>
            <w:tcW w:type="dxa" w:w="2556"/>
            <w:vAlign w:val="center"/>
          </w:tcPr>
          <w:p>
            <w:r>
              <w:rPr>
                <w:sz w:val="16"/>
              </w:rPr>
              <w:t>Feb 12, 2026</w:t>
            </w:r>
          </w:p>
        </w:tc>
        <w:tc>
          <w:tcPr>
            <w:tcW w:type="dxa" w:w="2556"/>
            <w:vAlign w:val="center"/>
          </w:tcPr>
          <w:p>
            <w:r>
              <w:rPr>
                <w:sz w:val="16"/>
              </w:rPr>
              <w:t>Feb 12, 2026</w:t>
            </w:r>
          </w:p>
        </w:tc>
        <w:tc>
          <w:tcPr>
            <w:tcW w:type="dxa" w:w="2556"/>
            <w:vAlign w:val="center"/>
          </w:tcPr>
          <w:p>
            <w:r>
              <w:rPr>
                <w:sz w:val="16"/>
              </w:rPr>
              <w:t>0 days</w:t>
            </w:r>
          </w:p>
        </w:tc>
      </w:tr>
      <w:tr>
        <w:tc>
          <w:tcPr>
            <w:tcW w:type="dxa" w:w="2556"/>
            <w:vAlign w:val="center"/>
          </w:tcPr>
          <w:p>
            <w:r>
              <w:rPr>
                <w:sz w:val="16"/>
              </w:rPr>
              <w:t>UAT Sign-Off</w:t>
            </w:r>
          </w:p>
        </w:tc>
        <w:tc>
          <w:tcPr>
            <w:tcW w:type="dxa" w:w="2556"/>
            <w:vAlign w:val="center"/>
          </w:tcPr>
          <w:p>
            <w:r>
              <w:rPr>
                <w:sz w:val="16"/>
              </w:rPr>
              <w:t>Mar 6, 2026</w:t>
            </w:r>
          </w:p>
        </w:tc>
        <w:tc>
          <w:tcPr>
            <w:tcW w:type="dxa" w:w="2556"/>
            <w:vAlign w:val="center"/>
          </w:tcPr>
          <w:p>
            <w:r>
              <w:rPr>
                <w:sz w:val="16"/>
              </w:rPr>
              <w:t>Mar 6, 2026</w:t>
            </w:r>
          </w:p>
        </w:tc>
        <w:tc>
          <w:tcPr>
            <w:tcW w:type="dxa" w:w="2556"/>
            <w:vAlign w:val="center"/>
          </w:tcPr>
          <w:p>
            <w:r>
              <w:rPr>
                <w:sz w:val="16"/>
              </w:rPr>
              <w:t>0 days</w:t>
            </w:r>
          </w:p>
        </w:tc>
      </w:tr>
      <w:tr>
        <w:tc>
          <w:tcPr>
            <w:tcW w:type="dxa" w:w="2556"/>
            <w:vAlign w:val="center"/>
          </w:tcPr>
          <w:p>
            <w:r>
              <w:rPr>
                <w:sz w:val="16"/>
              </w:rPr>
              <w:t>Production Go-Live</w:t>
            </w:r>
          </w:p>
        </w:tc>
        <w:tc>
          <w:tcPr>
            <w:tcW w:type="dxa" w:w="2556"/>
            <w:vAlign w:val="center"/>
          </w:tcPr>
          <w:p>
            <w:r>
              <w:rPr>
                <w:sz w:val="16"/>
              </w:rPr>
              <w:t>Mar 20, 2026</w:t>
            </w:r>
          </w:p>
        </w:tc>
        <w:tc>
          <w:tcPr>
            <w:tcW w:type="dxa" w:w="2556"/>
            <w:vAlign w:val="center"/>
          </w:tcPr>
          <w:p>
            <w:r>
              <w:rPr>
                <w:sz w:val="16"/>
              </w:rPr>
              <w:t>Mar 20, 2026</w:t>
            </w:r>
          </w:p>
        </w:tc>
        <w:tc>
          <w:tcPr>
            <w:tcW w:type="dxa" w:w="2556"/>
            <w:vAlign w:val="center"/>
          </w:tcPr>
          <w:p>
            <w:r>
              <w:rPr>
                <w:sz w:val="16"/>
              </w:rPr>
              <w:t>0 days</w:t>
            </w:r>
          </w:p>
        </w:tc>
      </w:tr>
      <w:tr>
        <w:tc>
          <w:tcPr>
            <w:tcW w:type="dxa" w:w="2556"/>
            <w:vAlign w:val="center"/>
          </w:tcPr>
          <w:p>
            <w:r>
              <w:rPr>
                <w:sz w:val="16"/>
              </w:rPr>
              <w:t>Hypercare Exit</w:t>
            </w:r>
          </w:p>
        </w:tc>
        <w:tc>
          <w:tcPr>
            <w:tcW w:type="dxa" w:w="2556"/>
            <w:vAlign w:val="center"/>
          </w:tcPr>
          <w:p>
            <w:r>
              <w:rPr>
                <w:sz w:val="16"/>
              </w:rPr>
              <w:t>Apr 3, 2026</w:t>
            </w:r>
          </w:p>
        </w:tc>
        <w:tc>
          <w:tcPr>
            <w:tcW w:type="dxa" w:w="2556"/>
            <w:vAlign w:val="center"/>
          </w:tcPr>
          <w:p>
            <w:r>
              <w:rPr>
                <w:sz w:val="16"/>
              </w:rPr>
              <w:t>Apr 3, 2026</w:t>
            </w:r>
          </w:p>
        </w:tc>
        <w:tc>
          <w:tcPr>
            <w:tcW w:type="dxa" w:w="2556"/>
            <w:vAlign w:val="center"/>
          </w:tcPr>
          <w:p>
            <w:r>
              <w:rPr>
                <w:sz w:val="16"/>
              </w:rPr>
              <w:t>0 days</w:t>
            </w:r>
          </w:p>
        </w:tc>
      </w:tr>
    </w:tbl>
    <w:p>
      <w:pPr>
        <w:pStyle w:val="Heading1"/>
      </w:pPr>
      <w:r>
        <w:t>9. Data Migration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4472C4"/>
          </w:tcPr>
          <w:p>
            <w:r>
              <w:rPr>
                <w:b/>
                <w:color w:val="FFFFFF"/>
                <w:sz w:val="16"/>
              </w:rPr>
              <w:t>Object</w:t>
            </w:r>
          </w:p>
        </w:tc>
        <w:tc>
          <w:tcPr>
            <w:tcW w:type="dxa" w:w="2045"/>
            <w:shd w:fill="4472C4"/>
          </w:tcPr>
          <w:p>
            <w:r>
              <w:rPr>
                <w:b/>
                <w:color w:val="FFFFFF"/>
                <w:sz w:val="16"/>
              </w:rPr>
              <w:t>Source Records</w:t>
            </w:r>
          </w:p>
        </w:tc>
        <w:tc>
          <w:tcPr>
            <w:tcW w:type="dxa" w:w="2045"/>
            <w:shd w:fill="4472C4"/>
          </w:tcPr>
          <w:p>
            <w:r>
              <w:rPr>
                <w:b/>
                <w:color w:val="FFFFFF"/>
                <w:sz w:val="16"/>
              </w:rPr>
              <w:t>Loaded</w:t>
            </w:r>
          </w:p>
        </w:tc>
        <w:tc>
          <w:tcPr>
            <w:tcW w:type="dxa" w:w="2045"/>
            <w:shd w:fill="4472C4"/>
          </w:tcPr>
          <w:p>
            <w:r>
              <w:rPr>
                <w:b/>
                <w:color w:val="FFFFFF"/>
                <w:sz w:val="16"/>
              </w:rPr>
              <w:t>Final Success</w:t>
            </w:r>
          </w:p>
        </w:tc>
        <w:tc>
          <w:tcPr>
            <w:tcW w:type="dxa" w:w="2045"/>
            <w:shd w:fill="4472C4"/>
          </w:tcPr>
          <w:p>
            <w:r>
              <w:rPr>
                <w:b/>
                <w:color w:val="FFFFFF"/>
                <w:sz w:val="16"/>
              </w:rPr>
              <w:t>Control</w:t>
            </w:r>
          </w:p>
        </w:tc>
      </w:tr>
      <w:tr>
        <w:tc>
          <w:tcPr>
            <w:tcW w:type="dxa" w:w="2045"/>
            <w:vAlign w:val="center"/>
          </w:tcPr>
          <w:p>
            <w:r>
              <w:rPr>
                <w:sz w:val="16"/>
              </w:rPr>
              <w:t>Accounts</w:t>
            </w:r>
          </w:p>
        </w:tc>
        <w:tc>
          <w:tcPr>
            <w:tcW w:type="dxa" w:w="2045"/>
            <w:vAlign w:val="center"/>
          </w:tcPr>
          <w:p>
            <w:r>
              <w:rPr>
                <w:sz w:val="16"/>
              </w:rPr>
              <w:t>3,200</w:t>
            </w:r>
          </w:p>
        </w:tc>
        <w:tc>
          <w:tcPr>
            <w:tcW w:type="dxa" w:w="2045"/>
            <w:vAlign w:val="center"/>
          </w:tcPr>
          <w:p>
            <w:r>
              <w:rPr>
                <w:sz w:val="16"/>
              </w:rPr>
              <w:t>3,184</w:t>
            </w:r>
          </w:p>
        </w:tc>
        <w:tc>
          <w:tcPr>
            <w:tcW w:type="dxa" w:w="2045"/>
            <w:vAlign w:val="center"/>
          </w:tcPr>
          <w:p>
            <w:r>
              <w:rPr>
                <w:sz w:val="16"/>
              </w:rPr>
              <w:t>99.5%</w:t>
            </w:r>
          </w:p>
        </w:tc>
        <w:tc>
          <w:tcPr>
            <w:tcW w:type="dxa" w:w="2045"/>
            <w:vAlign w:val="center"/>
          </w:tcPr>
          <w:p>
            <w:r>
              <w:rPr>
                <w:sz w:val="16"/>
              </w:rPr>
              <w:t>Reconcile counts and required fields</w:t>
            </w:r>
          </w:p>
        </w:tc>
      </w:tr>
      <w:tr>
        <w:tc>
          <w:tcPr>
            <w:tcW w:type="dxa" w:w="2045"/>
            <w:vAlign w:val="center"/>
          </w:tcPr>
          <w:p>
            <w:r>
              <w:rPr>
                <w:sz w:val="16"/>
              </w:rPr>
              <w:t>Contacts</w:t>
            </w:r>
          </w:p>
        </w:tc>
        <w:tc>
          <w:tcPr>
            <w:tcW w:type="dxa" w:w="2045"/>
            <w:vAlign w:val="center"/>
          </w:tcPr>
          <w:p>
            <w:r>
              <w:rPr>
                <w:sz w:val="16"/>
              </w:rPr>
              <w:t>6,900</w:t>
            </w:r>
          </w:p>
        </w:tc>
        <w:tc>
          <w:tcPr>
            <w:tcW w:type="dxa" w:w="2045"/>
            <w:vAlign w:val="center"/>
          </w:tcPr>
          <w:p>
            <w:r>
              <w:rPr>
                <w:sz w:val="16"/>
              </w:rPr>
              <w:t>6,858</w:t>
            </w:r>
          </w:p>
        </w:tc>
        <w:tc>
          <w:tcPr>
            <w:tcW w:type="dxa" w:w="2045"/>
            <w:vAlign w:val="center"/>
          </w:tcPr>
          <w:p>
            <w:r>
              <w:rPr>
                <w:sz w:val="16"/>
              </w:rPr>
              <w:t>99.4%</w:t>
            </w:r>
          </w:p>
        </w:tc>
        <w:tc>
          <w:tcPr>
            <w:tcW w:type="dxa" w:w="2045"/>
            <w:vAlign w:val="center"/>
          </w:tcPr>
          <w:p>
            <w:r>
              <w:rPr>
                <w:sz w:val="16"/>
              </w:rPr>
              <w:t>Deduplication and matching rules</w:t>
            </w:r>
          </w:p>
        </w:tc>
      </w:tr>
      <w:tr>
        <w:tc>
          <w:tcPr>
            <w:tcW w:type="dxa" w:w="2045"/>
            <w:vAlign w:val="center"/>
          </w:tcPr>
          <w:p>
            <w:r>
              <w:rPr>
                <w:sz w:val="16"/>
              </w:rPr>
              <w:t>Leads</w:t>
            </w:r>
          </w:p>
        </w:tc>
        <w:tc>
          <w:tcPr>
            <w:tcW w:type="dxa" w:w="2045"/>
            <w:vAlign w:val="center"/>
          </w:tcPr>
          <w:p>
            <w:r>
              <w:rPr>
                <w:sz w:val="16"/>
              </w:rPr>
              <w:t>3,100</w:t>
            </w:r>
          </w:p>
        </w:tc>
        <w:tc>
          <w:tcPr>
            <w:tcW w:type="dxa" w:w="2045"/>
            <w:vAlign w:val="center"/>
          </w:tcPr>
          <w:p>
            <w:r>
              <w:rPr>
                <w:sz w:val="16"/>
              </w:rPr>
              <w:t>3,078</w:t>
            </w:r>
          </w:p>
        </w:tc>
        <w:tc>
          <w:tcPr>
            <w:tcW w:type="dxa" w:w="2045"/>
            <w:vAlign w:val="center"/>
          </w:tcPr>
          <w:p>
            <w:r>
              <w:rPr>
                <w:sz w:val="16"/>
              </w:rPr>
              <w:t>99.3%</w:t>
            </w:r>
          </w:p>
        </w:tc>
        <w:tc>
          <w:tcPr>
            <w:tcW w:type="dxa" w:w="2045"/>
            <w:vAlign w:val="center"/>
          </w:tcPr>
          <w:p>
            <w:r>
              <w:rPr>
                <w:sz w:val="16"/>
              </w:rPr>
              <w:t>Lead-source normalization</w:t>
            </w:r>
          </w:p>
        </w:tc>
      </w:tr>
      <w:tr>
        <w:tc>
          <w:tcPr>
            <w:tcW w:type="dxa" w:w="2045"/>
            <w:vAlign w:val="center"/>
          </w:tcPr>
          <w:p>
            <w:r>
              <w:rPr>
                <w:sz w:val="16"/>
              </w:rPr>
              <w:t>Opportunities</w:t>
            </w:r>
          </w:p>
        </w:tc>
        <w:tc>
          <w:tcPr>
            <w:tcW w:type="dxa" w:w="2045"/>
            <w:vAlign w:val="center"/>
          </w:tcPr>
          <w:p>
            <w:r>
              <w:rPr>
                <w:sz w:val="16"/>
              </w:rPr>
              <w:t>1,650</w:t>
            </w:r>
          </w:p>
        </w:tc>
        <w:tc>
          <w:tcPr>
            <w:tcW w:type="dxa" w:w="2045"/>
            <w:vAlign w:val="center"/>
          </w:tcPr>
          <w:p>
            <w:r>
              <w:rPr>
                <w:sz w:val="16"/>
              </w:rPr>
              <w:t>1,643</w:t>
            </w:r>
          </w:p>
        </w:tc>
        <w:tc>
          <w:tcPr>
            <w:tcW w:type="dxa" w:w="2045"/>
            <w:vAlign w:val="center"/>
          </w:tcPr>
          <w:p>
            <w:r>
              <w:rPr>
                <w:sz w:val="16"/>
              </w:rPr>
              <w:t>99.6%</w:t>
            </w:r>
          </w:p>
        </w:tc>
        <w:tc>
          <w:tcPr>
            <w:tcW w:type="dxa" w:w="2045"/>
            <w:vAlign w:val="center"/>
          </w:tcPr>
          <w:p>
            <w:r>
              <w:rPr>
                <w:sz w:val="16"/>
              </w:rPr>
              <w:t>Owner/stage validation</w:t>
            </w:r>
          </w:p>
        </w:tc>
      </w:tr>
    </w:tbl>
    <w:p>
      <w:pPr>
        <w:pStyle w:val="Heading1"/>
      </w:pPr>
      <w:r>
        <w:t>10. Testing &amp; Acceptance</w:t>
      </w:r>
    </w:p>
    <w:p>
      <w:r>
        <w:t>Testing includes system integration testing, 228 business UAT cases, defect triage by severity, regression testing, security/permission validation, and formal UAT sign-off. Production cutover requires zero open critical defects and accepted migration reconciliation.</w:t>
      </w:r>
    </w:p>
    <w:p>
      <w:pPr>
        <w:pStyle w:val="Heading1"/>
      </w:pPr>
      <w:r>
        <w:t>11. Risk &amp; Issue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4472C4"/>
          </w:tcPr>
          <w:p>
            <w:r>
              <w:rPr>
                <w:b/>
                <w:color w:val="FFFFFF"/>
                <w:sz w:val="16"/>
              </w:rPr>
              <w:t>ID</w:t>
            </w:r>
          </w:p>
        </w:tc>
        <w:tc>
          <w:tcPr>
            <w:tcW w:type="dxa" w:w="2045"/>
            <w:shd w:fill="4472C4"/>
          </w:tcPr>
          <w:p>
            <w:r>
              <w:rPr>
                <w:b/>
                <w:color w:val="FFFFFF"/>
                <w:sz w:val="16"/>
              </w:rPr>
              <w:t>Item</w:t>
            </w:r>
          </w:p>
        </w:tc>
        <w:tc>
          <w:tcPr>
            <w:tcW w:type="dxa" w:w="2045"/>
            <w:shd w:fill="4472C4"/>
          </w:tcPr>
          <w:p>
            <w:r>
              <w:rPr>
                <w:b/>
                <w:color w:val="FFFFFF"/>
                <w:sz w:val="16"/>
              </w:rPr>
              <w:t>Score</w:t>
            </w:r>
          </w:p>
        </w:tc>
        <w:tc>
          <w:tcPr>
            <w:tcW w:type="dxa" w:w="2045"/>
            <w:shd w:fill="4472C4"/>
          </w:tcPr>
          <w:p>
            <w:r>
              <w:rPr>
                <w:b/>
                <w:color w:val="FFFFFF"/>
                <w:sz w:val="16"/>
              </w:rPr>
              <w:t>Mitigation / Resolution</w:t>
            </w:r>
          </w:p>
        </w:tc>
        <w:tc>
          <w:tcPr>
            <w:tcW w:type="dxa" w:w="2045"/>
            <w:shd w:fill="4472C4"/>
          </w:tcPr>
          <w:p>
            <w:r>
              <w:rPr>
                <w:b/>
                <w:color w:val="FFFFFF"/>
                <w:sz w:val="16"/>
              </w:rPr>
              <w:t>Status</w:t>
            </w:r>
          </w:p>
        </w:tc>
      </w:tr>
      <w:tr>
        <w:tc>
          <w:tcPr>
            <w:tcW w:type="dxa" w:w="2045"/>
            <w:vAlign w:val="center"/>
          </w:tcPr>
          <w:p>
            <w:r>
              <w:rPr>
                <w:sz w:val="16"/>
              </w:rPr>
              <w:t>R-01</w:t>
            </w:r>
          </w:p>
        </w:tc>
        <w:tc>
          <w:tcPr>
            <w:tcW w:type="dxa" w:w="2045"/>
            <w:vAlign w:val="center"/>
          </w:tcPr>
          <w:p>
            <w:r>
              <w:rPr>
                <w:sz w:val="16"/>
              </w:rPr>
              <w:t>Legacy data quality may reduce migration accuracy</w:t>
            </w:r>
          </w:p>
        </w:tc>
        <w:tc>
          <w:tcPr>
            <w:tcW w:type="dxa" w:w="2045"/>
            <w:vAlign w:val="center"/>
          </w:tcPr>
          <w:p>
            <w:r>
              <w:rPr>
                <w:sz w:val="16"/>
              </w:rPr>
              <w:t>15</w:t>
            </w:r>
          </w:p>
        </w:tc>
        <w:tc>
          <w:tcPr>
            <w:tcW w:type="dxa" w:w="2045"/>
            <w:vAlign w:val="center"/>
          </w:tcPr>
          <w:p>
            <w:r>
              <w:rPr>
                <w:sz w:val="16"/>
              </w:rPr>
              <w:t>Profile, cleanse, dedupe, two mock migrations</w:t>
            </w:r>
          </w:p>
        </w:tc>
        <w:tc>
          <w:tcPr>
            <w:tcW w:type="dxa" w:w="2045"/>
            <w:vAlign w:val="center"/>
          </w:tcPr>
          <w:p>
            <w:r>
              <w:rPr>
                <w:sz w:val="16"/>
              </w:rPr>
              <w:t>Closed</w:t>
            </w:r>
          </w:p>
        </w:tc>
      </w:tr>
      <w:tr>
        <w:tc>
          <w:tcPr>
            <w:tcW w:type="dxa" w:w="2045"/>
            <w:vAlign w:val="center"/>
          </w:tcPr>
          <w:p>
            <w:r>
              <w:rPr>
                <w:sz w:val="16"/>
              </w:rPr>
              <w:t>R-02</w:t>
            </w:r>
          </w:p>
        </w:tc>
        <w:tc>
          <w:tcPr>
            <w:tcW w:type="dxa" w:w="2045"/>
            <w:vAlign w:val="center"/>
          </w:tcPr>
          <w:p>
            <w:r>
              <w:rPr>
                <w:sz w:val="16"/>
              </w:rPr>
              <w:t>User adoption may lag after go-live</w:t>
            </w:r>
          </w:p>
        </w:tc>
        <w:tc>
          <w:tcPr>
            <w:tcW w:type="dxa" w:w="2045"/>
            <w:vAlign w:val="center"/>
          </w:tcPr>
          <w:p>
            <w:r>
              <w:rPr>
                <w:sz w:val="16"/>
              </w:rPr>
              <w:t>12</w:t>
            </w:r>
          </w:p>
        </w:tc>
        <w:tc>
          <w:tcPr>
            <w:tcW w:type="dxa" w:w="2045"/>
            <w:vAlign w:val="center"/>
          </w:tcPr>
          <w:p>
            <w:r>
              <w:rPr>
                <w:sz w:val="16"/>
              </w:rPr>
              <w:t>Training, champions, office hours, adoption dashboard</w:t>
            </w:r>
          </w:p>
        </w:tc>
        <w:tc>
          <w:tcPr>
            <w:tcW w:type="dxa" w:w="2045"/>
            <w:vAlign w:val="center"/>
          </w:tcPr>
          <w:p>
            <w:r>
              <w:rPr>
                <w:sz w:val="16"/>
              </w:rPr>
              <w:t>Closed</w:t>
            </w:r>
          </w:p>
        </w:tc>
      </w:tr>
      <w:tr>
        <w:tc>
          <w:tcPr>
            <w:tcW w:type="dxa" w:w="2045"/>
            <w:vAlign w:val="center"/>
          </w:tcPr>
          <w:p>
            <w:r>
              <w:rPr>
                <w:sz w:val="16"/>
              </w:rPr>
              <w:t>R-03</w:t>
            </w:r>
          </w:p>
        </w:tc>
        <w:tc>
          <w:tcPr>
            <w:tcW w:type="dxa" w:w="2045"/>
            <w:vAlign w:val="center"/>
          </w:tcPr>
          <w:p>
            <w:r>
              <w:rPr>
                <w:sz w:val="16"/>
              </w:rPr>
              <w:t>Permission model may expose records incorrectly</w:t>
            </w:r>
          </w:p>
        </w:tc>
        <w:tc>
          <w:tcPr>
            <w:tcW w:type="dxa" w:w="2045"/>
            <w:vAlign w:val="center"/>
          </w:tcPr>
          <w:p>
            <w:r>
              <w:rPr>
                <w:sz w:val="16"/>
              </w:rPr>
              <w:t>10</w:t>
            </w:r>
          </w:p>
        </w:tc>
        <w:tc>
          <w:tcPr>
            <w:tcW w:type="dxa" w:w="2045"/>
            <w:vAlign w:val="center"/>
          </w:tcPr>
          <w:p>
            <w:r>
              <w:rPr>
                <w:sz w:val="16"/>
              </w:rPr>
              <w:t>Role hierarchy review + negative access tests</w:t>
            </w:r>
          </w:p>
        </w:tc>
        <w:tc>
          <w:tcPr>
            <w:tcW w:type="dxa" w:w="2045"/>
            <w:vAlign w:val="center"/>
          </w:tcPr>
          <w:p>
            <w:r>
              <w:rPr>
                <w:sz w:val="16"/>
              </w:rPr>
              <w:t>Closed</w:t>
            </w:r>
          </w:p>
        </w:tc>
      </w:tr>
      <w:tr>
        <w:tc>
          <w:tcPr>
            <w:tcW w:type="dxa" w:w="2045"/>
            <w:vAlign w:val="center"/>
          </w:tcPr>
          <w:p>
            <w:r>
              <w:rPr>
                <w:sz w:val="16"/>
              </w:rPr>
              <w:t>I-01</w:t>
            </w:r>
          </w:p>
        </w:tc>
        <w:tc>
          <w:tcPr>
            <w:tcW w:type="dxa" w:w="2045"/>
            <w:vAlign w:val="center"/>
          </w:tcPr>
          <w:p>
            <w:r>
              <w:rPr>
                <w:sz w:val="16"/>
              </w:rPr>
              <w:t>Initial mock migration produced duplicate contacts</w:t>
            </w:r>
          </w:p>
        </w:tc>
        <w:tc>
          <w:tcPr>
            <w:tcW w:type="dxa" w:w="2045"/>
            <w:vAlign w:val="center"/>
          </w:tcPr>
          <w:p>
            <w:r>
              <w:rPr>
                <w:sz w:val="16"/>
              </w:rPr>
              <w:t>20</w:t>
            </w:r>
          </w:p>
        </w:tc>
        <w:tc>
          <w:tcPr>
            <w:tcW w:type="dxa" w:w="2045"/>
            <w:vAlign w:val="center"/>
          </w:tcPr>
          <w:p>
            <w:r>
              <w:rPr>
                <w:sz w:val="16"/>
              </w:rPr>
              <w:t>Adjusted matching rules and reran load</w:t>
            </w:r>
          </w:p>
        </w:tc>
        <w:tc>
          <w:tcPr>
            <w:tcW w:type="dxa" w:w="2045"/>
            <w:vAlign w:val="center"/>
          </w:tcPr>
          <w:p>
            <w:r>
              <w:rPr>
                <w:sz w:val="16"/>
              </w:rPr>
              <w:t>Closed</w:t>
            </w:r>
          </w:p>
        </w:tc>
      </w:tr>
      <w:tr>
        <w:tc>
          <w:tcPr>
            <w:tcW w:type="dxa" w:w="2045"/>
            <w:vAlign w:val="center"/>
          </w:tcPr>
          <w:p>
            <w:r>
              <w:rPr>
                <w:sz w:val="16"/>
              </w:rPr>
              <w:t>D-01</w:t>
            </w:r>
          </w:p>
        </w:tc>
        <w:tc>
          <w:tcPr>
            <w:tcW w:type="dxa" w:w="2045"/>
            <w:vAlign w:val="center"/>
          </w:tcPr>
          <w:p>
            <w:r>
              <w:rPr>
                <w:sz w:val="16"/>
              </w:rPr>
              <w:t>Business UAT sign-off required before cutover</w:t>
            </w:r>
          </w:p>
        </w:tc>
        <w:tc>
          <w:tcPr>
            <w:tcW w:type="dxa" w:w="2045"/>
            <w:vAlign w:val="center"/>
          </w:tcPr>
          <w:p>
            <w:r>
              <w:rPr>
                <w:sz w:val="16"/>
              </w:rPr>
              <w:t>20</w:t>
            </w:r>
          </w:p>
        </w:tc>
        <w:tc>
          <w:tcPr>
            <w:tcW w:type="dxa" w:w="2045"/>
            <w:vAlign w:val="center"/>
          </w:tcPr>
          <w:p>
            <w:r>
              <w:rPr>
                <w:sz w:val="16"/>
              </w:rPr>
              <w:t>Daily UAT triage and formal sign-off checklist</w:t>
            </w:r>
          </w:p>
        </w:tc>
        <w:tc>
          <w:tcPr>
            <w:tcW w:type="dxa" w:w="2045"/>
            <w:vAlign w:val="center"/>
          </w:tcPr>
          <w:p>
            <w:r>
              <w:rPr>
                <w:sz w:val="16"/>
              </w:rPr>
              <w:t>Complete</w:t>
            </w:r>
          </w:p>
        </w:tc>
      </w:tr>
    </w:tbl>
    <w:p>
      <w:pPr>
        <w:pStyle w:val="Heading1"/>
      </w:pPr>
      <w:r>
        <w:t>12. Budget Management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Category</w:t>
            </w:r>
          </w:p>
        </w:tc>
        <w:tc>
          <w:tcPr>
            <w:tcW w:type="dxa" w:w="2556"/>
            <w:shd w:fill="4472C4"/>
          </w:tcPr>
          <w:p>
            <w:r>
              <w:rPr>
                <w:b/>
                <w:color w:val="FFFFFF"/>
                <w:sz w:val="16"/>
              </w:rPr>
              <w:t>Baseline</w:t>
            </w:r>
          </w:p>
        </w:tc>
        <w:tc>
          <w:tcPr>
            <w:tcW w:type="dxa" w:w="2556"/>
            <w:shd w:fill="4472C4"/>
          </w:tcPr>
          <w:p>
            <w:r>
              <w:rPr>
                <w:b/>
                <w:color w:val="FFFFFF"/>
                <w:sz w:val="16"/>
              </w:rPr>
              <w:t>Actual</w:t>
            </w:r>
          </w:p>
        </w:tc>
        <w:tc>
          <w:tcPr>
            <w:tcW w:type="dxa" w:w="2556"/>
            <w:shd w:fill="4472C4"/>
          </w:tcPr>
          <w:p>
            <w:r>
              <w:rPr>
                <w:b/>
                <w:color w:val="FFFFFF"/>
                <w:sz w:val="16"/>
              </w:rPr>
              <w:t>Variance</w:t>
            </w:r>
          </w:p>
        </w:tc>
      </w:tr>
      <w:tr>
        <w:tc>
          <w:tcPr>
            <w:tcW w:type="dxa" w:w="2556"/>
            <w:vAlign w:val="center"/>
          </w:tcPr>
          <w:p>
            <w:r>
              <w:rPr>
                <w:sz w:val="16"/>
              </w:rPr>
              <w:t>Discovery &amp; Design</w:t>
            </w:r>
          </w:p>
        </w:tc>
        <w:tc>
          <w:tcPr>
            <w:tcW w:type="dxa" w:w="2556"/>
            <w:vAlign w:val="center"/>
          </w:tcPr>
          <w:p>
            <w:r>
              <w:rPr>
                <w:sz w:val="16"/>
              </w:rPr>
              <w:t>$22,000</w:t>
            </w:r>
          </w:p>
        </w:tc>
        <w:tc>
          <w:tcPr>
            <w:tcW w:type="dxa" w:w="2556"/>
            <w:vAlign w:val="center"/>
          </w:tcPr>
          <w:p>
            <w:r>
              <w:rPr>
                <w:sz w:val="16"/>
              </w:rPr>
              <w:t>$21,400</w:t>
            </w:r>
          </w:p>
        </w:tc>
        <w:tc>
          <w:tcPr>
            <w:tcW w:type="dxa" w:w="2556"/>
            <w:vAlign w:val="center"/>
          </w:tcPr>
          <w:p>
            <w:r>
              <w:rPr>
                <w:sz w:val="16"/>
              </w:rPr>
              <w:t>+$600</w:t>
            </w:r>
          </w:p>
        </w:tc>
      </w:tr>
      <w:tr>
        <w:tc>
          <w:tcPr>
            <w:tcW w:type="dxa" w:w="2556"/>
            <w:vAlign w:val="center"/>
          </w:tcPr>
          <w:p>
            <w:r>
              <w:rPr>
                <w:sz w:val="16"/>
              </w:rPr>
              <w:t>Salesforce Configuration</w:t>
            </w:r>
          </w:p>
        </w:tc>
        <w:tc>
          <w:tcPr>
            <w:tcW w:type="dxa" w:w="2556"/>
            <w:vAlign w:val="center"/>
          </w:tcPr>
          <w:p>
            <w:r>
              <w:rPr>
                <w:sz w:val="16"/>
              </w:rPr>
              <w:t>$36,000</w:t>
            </w:r>
          </w:p>
        </w:tc>
        <w:tc>
          <w:tcPr>
            <w:tcW w:type="dxa" w:w="2556"/>
            <w:vAlign w:val="center"/>
          </w:tcPr>
          <w:p>
            <w:r>
              <w:rPr>
                <w:sz w:val="16"/>
              </w:rPr>
              <w:t>$35,450</w:t>
            </w:r>
          </w:p>
        </w:tc>
        <w:tc>
          <w:tcPr>
            <w:tcW w:type="dxa" w:w="2556"/>
            <w:vAlign w:val="center"/>
          </w:tcPr>
          <w:p>
            <w:r>
              <w:rPr>
                <w:sz w:val="16"/>
              </w:rPr>
              <w:t>+$550</w:t>
            </w:r>
          </w:p>
        </w:tc>
      </w:tr>
      <w:tr>
        <w:tc>
          <w:tcPr>
            <w:tcW w:type="dxa" w:w="2556"/>
            <w:vAlign w:val="center"/>
          </w:tcPr>
          <w:p>
            <w:r>
              <w:rPr>
                <w:sz w:val="16"/>
              </w:rPr>
              <w:t>Data Migration</w:t>
            </w:r>
          </w:p>
        </w:tc>
        <w:tc>
          <w:tcPr>
            <w:tcW w:type="dxa" w:w="2556"/>
            <w:vAlign w:val="center"/>
          </w:tcPr>
          <w:p>
            <w:r>
              <w:rPr>
                <w:sz w:val="16"/>
              </w:rPr>
              <w:t>$24,000</w:t>
            </w:r>
          </w:p>
        </w:tc>
        <w:tc>
          <w:tcPr>
            <w:tcW w:type="dxa" w:w="2556"/>
            <w:vAlign w:val="center"/>
          </w:tcPr>
          <w:p>
            <w:r>
              <w:rPr>
                <w:sz w:val="16"/>
              </w:rPr>
              <w:t>$25,800</w:t>
            </w:r>
          </w:p>
        </w:tc>
        <w:tc>
          <w:tcPr>
            <w:tcW w:type="dxa" w:w="2556"/>
            <w:vAlign w:val="center"/>
          </w:tcPr>
          <w:p>
            <w:r>
              <w:rPr>
                <w:sz w:val="16"/>
              </w:rPr>
              <w:t>-$1,800</w:t>
            </w:r>
          </w:p>
        </w:tc>
      </w:tr>
      <w:tr>
        <w:tc>
          <w:tcPr>
            <w:tcW w:type="dxa" w:w="2556"/>
            <w:vAlign w:val="center"/>
          </w:tcPr>
          <w:p>
            <w:r>
              <w:rPr>
                <w:sz w:val="16"/>
              </w:rPr>
              <w:t>Integrations</w:t>
            </w:r>
          </w:p>
        </w:tc>
        <w:tc>
          <w:tcPr>
            <w:tcW w:type="dxa" w:w="2556"/>
            <w:vAlign w:val="center"/>
          </w:tcPr>
          <w:p>
            <w:r>
              <w:rPr>
                <w:sz w:val="16"/>
              </w:rPr>
              <w:t>$18,000</w:t>
            </w:r>
          </w:p>
        </w:tc>
        <w:tc>
          <w:tcPr>
            <w:tcW w:type="dxa" w:w="2556"/>
            <w:vAlign w:val="center"/>
          </w:tcPr>
          <w:p>
            <w:r>
              <w:rPr>
                <w:sz w:val="16"/>
              </w:rPr>
              <w:t>$17,600</w:t>
            </w:r>
          </w:p>
        </w:tc>
        <w:tc>
          <w:tcPr>
            <w:tcW w:type="dxa" w:w="2556"/>
            <w:vAlign w:val="center"/>
          </w:tcPr>
          <w:p>
            <w:r>
              <w:rPr>
                <w:sz w:val="16"/>
              </w:rPr>
              <w:t>+$400</w:t>
            </w:r>
          </w:p>
        </w:tc>
      </w:tr>
      <w:tr>
        <w:tc>
          <w:tcPr>
            <w:tcW w:type="dxa" w:w="2556"/>
            <w:vAlign w:val="center"/>
          </w:tcPr>
          <w:p>
            <w:r>
              <w:rPr>
                <w:sz w:val="16"/>
              </w:rPr>
              <w:t>Testing &amp; UAT</w:t>
            </w:r>
          </w:p>
        </w:tc>
        <w:tc>
          <w:tcPr>
            <w:tcW w:type="dxa" w:w="2556"/>
            <w:vAlign w:val="center"/>
          </w:tcPr>
          <w:p>
            <w:r>
              <w:rPr>
                <w:sz w:val="16"/>
              </w:rPr>
              <w:t>$16,000</w:t>
            </w:r>
          </w:p>
        </w:tc>
        <w:tc>
          <w:tcPr>
            <w:tcW w:type="dxa" w:w="2556"/>
            <w:vAlign w:val="center"/>
          </w:tcPr>
          <w:p>
            <w:r>
              <w:rPr>
                <w:sz w:val="16"/>
              </w:rPr>
              <w:t>$15,450</w:t>
            </w:r>
          </w:p>
        </w:tc>
        <w:tc>
          <w:tcPr>
            <w:tcW w:type="dxa" w:w="2556"/>
            <w:vAlign w:val="center"/>
          </w:tcPr>
          <w:p>
            <w:r>
              <w:rPr>
                <w:sz w:val="16"/>
              </w:rPr>
              <w:t>+$550</w:t>
            </w:r>
          </w:p>
        </w:tc>
      </w:tr>
      <w:tr>
        <w:tc>
          <w:tcPr>
            <w:tcW w:type="dxa" w:w="2556"/>
            <w:vAlign w:val="center"/>
          </w:tcPr>
          <w:p>
            <w:r>
              <w:rPr>
                <w:sz w:val="16"/>
              </w:rPr>
              <w:t>Training &amp; Change</w:t>
            </w:r>
          </w:p>
        </w:tc>
        <w:tc>
          <w:tcPr>
            <w:tcW w:type="dxa" w:w="2556"/>
            <w:vAlign w:val="center"/>
          </w:tcPr>
          <w:p>
            <w:r>
              <w:rPr>
                <w:sz w:val="16"/>
              </w:rPr>
              <w:t>$14,000</w:t>
            </w:r>
          </w:p>
        </w:tc>
        <w:tc>
          <w:tcPr>
            <w:tcW w:type="dxa" w:w="2556"/>
            <w:vAlign w:val="center"/>
          </w:tcPr>
          <w:p>
            <w:r>
              <w:rPr>
                <w:sz w:val="16"/>
              </w:rPr>
              <w:t>$13,600</w:t>
            </w:r>
          </w:p>
        </w:tc>
        <w:tc>
          <w:tcPr>
            <w:tcW w:type="dxa" w:w="2556"/>
            <w:vAlign w:val="center"/>
          </w:tcPr>
          <w:p>
            <w:r>
              <w:rPr>
                <w:sz w:val="16"/>
              </w:rPr>
              <w:t>+$400</w:t>
            </w:r>
          </w:p>
        </w:tc>
      </w:tr>
      <w:tr>
        <w:tc>
          <w:tcPr>
            <w:tcW w:type="dxa" w:w="2556"/>
            <w:vAlign w:val="center"/>
          </w:tcPr>
          <w:p>
            <w:r>
              <w:rPr>
                <w:sz w:val="16"/>
              </w:rPr>
              <w:t>Cutover &amp; Hypercare</w:t>
            </w:r>
          </w:p>
        </w:tc>
        <w:tc>
          <w:tcPr>
            <w:tcW w:type="dxa" w:w="2556"/>
            <w:vAlign w:val="center"/>
          </w:tcPr>
          <w:p>
            <w:r>
              <w:rPr>
                <w:sz w:val="16"/>
              </w:rPr>
              <w:t>$20,000</w:t>
            </w:r>
          </w:p>
        </w:tc>
        <w:tc>
          <w:tcPr>
            <w:tcW w:type="dxa" w:w="2556"/>
            <w:vAlign w:val="center"/>
          </w:tcPr>
          <w:p>
            <w:r>
              <w:rPr>
                <w:sz w:val="16"/>
              </w:rPr>
              <w:t>$19,100</w:t>
            </w:r>
          </w:p>
        </w:tc>
        <w:tc>
          <w:tcPr>
            <w:tcW w:type="dxa" w:w="2556"/>
            <w:vAlign w:val="center"/>
          </w:tcPr>
          <w:p>
            <w:r>
              <w:rPr>
                <w:sz w:val="16"/>
              </w:rPr>
              <w:t>+$900</w:t>
            </w:r>
          </w:p>
        </w:tc>
      </w:tr>
      <w:tr>
        <w:tc>
          <w:tcPr>
            <w:tcW w:type="dxa" w:w="2556"/>
            <w:vAlign w:val="center"/>
          </w:tcPr>
          <w:p>
            <w:r>
              <w:rPr>
                <w:sz w:val="16"/>
              </w:rPr>
              <w:t>TOTAL</w:t>
            </w:r>
          </w:p>
        </w:tc>
        <w:tc>
          <w:tcPr>
            <w:tcW w:type="dxa" w:w="2556"/>
            <w:vAlign w:val="center"/>
          </w:tcPr>
          <w:p>
            <w:r>
              <w:rPr>
                <w:sz w:val="16"/>
              </w:rPr>
              <w:t>$150,000</w:t>
            </w:r>
          </w:p>
        </w:tc>
        <w:tc>
          <w:tcPr>
            <w:tcW w:type="dxa" w:w="2556"/>
            <w:vAlign w:val="center"/>
          </w:tcPr>
          <w:p>
            <w:r>
              <w:rPr>
                <w:sz w:val="16"/>
              </w:rPr>
              <w:t>$148,400</w:t>
            </w:r>
          </w:p>
        </w:tc>
        <w:tc>
          <w:tcPr>
            <w:tcW w:type="dxa" w:w="2556"/>
            <w:vAlign w:val="center"/>
          </w:tcPr>
          <w:p>
            <w:r>
              <w:rPr>
                <w:sz w:val="16"/>
              </w:rPr>
              <w:t>+$1,600 favorable</w:t>
            </w:r>
          </w:p>
        </w:tc>
      </w:tr>
    </w:tbl>
    <w:p>
      <w:pPr>
        <w:pStyle w:val="Heading1"/>
      </w:pPr>
      <w:r>
        <w:t>13. Change Control</w:t>
      </w:r>
    </w:p>
    <w:p>
      <w:r>
        <w:t>Changes are documented with business reason, impact, decision, owner, and implementation status. Approved changes are incorporated into configuration, data rules, adoption support, or the cutover plan.</w:t>
      </w:r>
    </w:p>
    <w:p>
      <w:pPr>
        <w:pStyle w:val="Heading1"/>
      </w:pPr>
      <w:r>
        <w:t>14. Lessons Learned</w:t>
      </w:r>
    </w:p>
    <w:p>
      <w:pPr>
        <w:pStyle w:val="ListBullet"/>
      </w:pPr>
      <w:r>
        <w:t>Data profiling should begin during requirements, not after configuration starts.</w:t>
      </w:r>
    </w:p>
    <w:p>
      <w:pPr>
        <w:pStyle w:val="ListBullet"/>
      </w:pPr>
      <w:r>
        <w:t>Mock migrations need business reconciliation criteria in addition to technical load success.</w:t>
      </w:r>
    </w:p>
    <w:p>
      <w:pPr>
        <w:pStyle w:val="ListBullet"/>
      </w:pPr>
      <w:r>
        <w:t>Permission testing should include negative-access scenarios before UAT sign-off.</w:t>
      </w:r>
    </w:p>
    <w:p>
      <w:pPr>
        <w:pStyle w:val="ListBullet"/>
      </w:pPr>
      <w:r>
        <w:t>Training completion alone is not enough; adoption dashboards should track actual user activity after launch.</w:t>
      </w:r>
    </w:p>
    <w:p>
      <w:pPr>
        <w:pStyle w:val="ListBullet"/>
      </w:pPr>
      <w:r>
        <w:t>Cutover readiness is easier to govern when defects, migration, training, and approvals roll into one executive dashboard.</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Salesforce CRM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