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Working Session - Meeting Notes</w:t>
      </w:r>
    </w:p>
    <w:p>
      <w:pPr>
        <w:jc w:val="center"/>
      </w:pPr>
      <w:r>
        <w:rPr>
          <w:color w:val="5A5A5A"/>
          <w:sz w:val="20"/>
        </w:rPr>
        <w:t>Week 4 | Simulated Portfolio Case Study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4472C4"/>
            <w:vAlign w:val="center"/>
          </w:tcPr>
          <w:p>
            <w:r>
              <w:rPr>
                <w:b/>
                <w:color w:val="FFFFFF"/>
                <w:sz w:val="17"/>
              </w:rPr>
              <w:t>Date</w:t>
            </w:r>
          </w:p>
        </w:tc>
        <w:tc>
          <w:tcPr>
            <w:tcW w:type="dxa" w:w="2556"/>
            <w:shd w:fill="4472C4"/>
            <w:vAlign w:val="center"/>
          </w:tcPr>
          <w:p>
            <w:r>
              <w:rPr>
                <w:b/>
                <w:color w:val="FFFFFF"/>
                <w:sz w:val="17"/>
              </w:rPr>
              <w:t>Facilitator</w:t>
            </w:r>
          </w:p>
        </w:tc>
        <w:tc>
          <w:tcPr>
            <w:tcW w:type="dxa" w:w="2556"/>
            <w:shd w:fill="4472C4"/>
            <w:vAlign w:val="center"/>
          </w:tcPr>
          <w:p>
            <w:r>
              <w:rPr>
                <w:b/>
                <w:color w:val="FFFFFF"/>
                <w:sz w:val="17"/>
              </w:rPr>
              <w:t>Participants</w:t>
            </w:r>
          </w:p>
        </w:tc>
        <w:tc>
          <w:tcPr>
            <w:tcW w:type="dxa" w:w="2556"/>
            <w:shd w:fill="4472C4"/>
            <w:vAlign w:val="center"/>
          </w:tcPr>
          <w:p>
            <w:r>
              <w:rPr>
                <w:b/>
                <w:color w:val="FFFFFF"/>
                <w:sz w:val="17"/>
              </w:rPr>
              <w:t>Purpose</w:t>
            </w:r>
          </w:p>
        </w:tc>
      </w:tr>
      <w:tr>
        <w:tc>
          <w:tcPr>
            <w:tcW w:type="dxa" w:w="2556"/>
            <w:vAlign w:val="center"/>
          </w:tcPr>
          <w:p>
            <w:r>
              <w:rPr>
                <w:sz w:val="16"/>
              </w:rPr>
              <w:t>May 15, 2026</w:t>
            </w:r>
          </w:p>
        </w:tc>
        <w:tc>
          <w:tcPr>
            <w:tcW w:type="dxa" w:w="2556"/>
            <w:vAlign w:val="center"/>
          </w:tcPr>
          <w:p>
            <w:r>
              <w:rPr>
                <w:sz w:val="16"/>
              </w:rPr>
              <w:t>Project Coordinator</w:t>
            </w:r>
          </w:p>
        </w:tc>
        <w:tc>
          <w:tcPr>
            <w:tcW w:type="dxa" w:w="2556"/>
            <w:vAlign w:val="center"/>
          </w:tcPr>
          <w:p>
            <w:r>
              <w:rPr>
                <w:sz w:val="16"/>
              </w:rPr>
              <w:t>L&amp;D, Regional HR, LMS, Communications</w:t>
            </w:r>
          </w:p>
        </w:tc>
        <w:tc>
          <w:tcPr>
            <w:tcW w:type="dxa" w:w="2556"/>
            <w:vAlign w:val="center"/>
          </w:tcPr>
          <w:p>
            <w:r>
              <w:rPr>
                <w:sz w:val="16"/>
              </w:rPr>
              <w:t>Review regional delivery readiness, issues, and actions</w:t>
            </w:r>
          </w:p>
        </w:tc>
      </w:tr>
    </w:tbl>
    <w:p>
      <w:pPr>
        <w:pStyle w:val="Heading1"/>
      </w:pPr>
      <w:r>
        <w:t>Agenda</w:t>
      </w:r>
    </w:p>
    <w:p>
      <w:pPr>
        <w:pStyle w:val="ListBullet"/>
      </w:pPr>
      <w:r>
        <w:t>Regional delivery status</w:t>
      </w:r>
    </w:p>
    <w:p>
      <w:pPr>
        <w:pStyle w:val="ListBullet"/>
      </w:pPr>
      <w:r>
        <w:t>LMS enrollment reconciliation</w:t>
      </w:r>
    </w:p>
    <w:p>
      <w:pPr>
        <w:pStyle w:val="ListBullet"/>
      </w:pPr>
      <w:r>
        <w:t>Facilitator coverage</w:t>
      </w:r>
    </w:p>
    <w:p>
      <w:pPr>
        <w:pStyle w:val="ListBullet"/>
      </w:pPr>
      <w:r>
        <w:t>Attendance risk</w:t>
      </w:r>
    </w:p>
    <w:p>
      <w:pPr>
        <w:pStyle w:val="ListBullet"/>
      </w:pPr>
      <w:r>
        <w:t>Communications</w:t>
      </w:r>
    </w:p>
    <w:p>
      <w:pPr>
        <w:pStyle w:val="ListBullet"/>
      </w:pPr>
      <w:r>
        <w:t>RAID and change review</w:t>
      </w:r>
    </w:p>
    <w:p>
      <w:pPr>
        <w:pStyle w:val="Heading1"/>
      </w:pPr>
      <w:r>
        <w:t>Discussion Summary</w:t>
      </w:r>
    </w:p>
    <w:p>
      <w:r>
        <w:t>North America delivery remained on plan. EMEA and APAC schedules were confirmed, while the team reviewed the corrected LMS enrollment logic and the backup facilitator pool. LATAM communications were approved for release after final regional validation.</w:t>
      </w:r>
    </w:p>
    <w:p>
      <w:pPr>
        <w:pStyle w:val="Heading1"/>
      </w:pPr>
      <w:r>
        <w:t>Decisions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4472C4"/>
            <w:vAlign w:val="center"/>
          </w:tcPr>
          <w:p>
            <w:r>
              <w:rPr>
                <w:b/>
                <w:color w:val="FFFFFF"/>
                <w:sz w:val="17"/>
              </w:rPr>
              <w:t>Decision ID</w:t>
            </w:r>
          </w:p>
        </w:tc>
        <w:tc>
          <w:tcPr>
            <w:tcW w:type="dxa" w:w="2556"/>
            <w:shd w:fill="4472C4"/>
            <w:vAlign w:val="center"/>
          </w:tcPr>
          <w:p>
            <w:r>
              <w:rPr>
                <w:b/>
                <w:color w:val="FFFFFF"/>
                <w:sz w:val="17"/>
              </w:rPr>
              <w:t>Decision</w:t>
            </w:r>
          </w:p>
        </w:tc>
        <w:tc>
          <w:tcPr>
            <w:tcW w:type="dxa" w:w="2556"/>
            <w:shd w:fill="4472C4"/>
            <w:vAlign w:val="center"/>
          </w:tcPr>
          <w:p>
            <w:r>
              <w:rPr>
                <w:b/>
                <w:color w:val="FFFFFF"/>
                <w:sz w:val="17"/>
              </w:rPr>
              <w:t>Owner</w:t>
            </w:r>
          </w:p>
        </w:tc>
        <w:tc>
          <w:tcPr>
            <w:tcW w:type="dxa" w:w="2556"/>
            <w:shd w:fill="4472C4"/>
            <w:vAlign w:val="center"/>
          </w:tcPr>
          <w:p>
            <w:r>
              <w:rPr>
                <w:b/>
                <w:color w:val="FFFFFF"/>
                <w:sz w:val="17"/>
              </w:rPr>
              <w:t>Date</w:t>
            </w:r>
          </w:p>
        </w:tc>
      </w:tr>
      <w:tr>
        <w:tc>
          <w:tcPr>
            <w:tcW w:type="dxa" w:w="2556"/>
            <w:vAlign w:val="center"/>
          </w:tcPr>
          <w:p>
            <w:r>
              <w:rPr>
                <w:sz w:val="16"/>
              </w:rPr>
              <w:t>DEC-04</w:t>
            </w:r>
          </w:p>
        </w:tc>
        <w:tc>
          <w:tcPr>
            <w:tcW w:type="dxa" w:w="2556"/>
            <w:vAlign w:val="center"/>
          </w:tcPr>
          <w:p>
            <w:r>
              <w:rPr>
                <w:sz w:val="16"/>
              </w:rPr>
              <w:t>Retain second EMEA session window</w:t>
            </w:r>
          </w:p>
        </w:tc>
        <w:tc>
          <w:tcPr>
            <w:tcW w:type="dxa" w:w="2556"/>
            <w:vAlign w:val="center"/>
          </w:tcPr>
          <w:p>
            <w:r>
              <w:rPr>
                <w:sz w:val="16"/>
              </w:rPr>
              <w:t>Project Coordinator</w:t>
            </w:r>
          </w:p>
        </w:tc>
        <w:tc>
          <w:tcPr>
            <w:tcW w:type="dxa" w:w="2556"/>
            <w:vAlign w:val="center"/>
          </w:tcPr>
          <w:p>
            <w:r>
              <w:rPr>
                <w:sz w:val="16"/>
              </w:rPr>
              <w:t>May 15, 2026</w:t>
            </w:r>
          </w:p>
        </w:tc>
      </w:tr>
      <w:tr>
        <w:tc>
          <w:tcPr>
            <w:tcW w:type="dxa" w:w="2556"/>
            <w:vAlign w:val="center"/>
          </w:tcPr>
          <w:p>
            <w:r>
              <w:rPr>
                <w:sz w:val="16"/>
              </w:rPr>
              <w:t>DEC-05</w:t>
            </w:r>
          </w:p>
        </w:tc>
        <w:tc>
          <w:tcPr>
            <w:tcW w:type="dxa" w:w="2556"/>
            <w:vAlign w:val="center"/>
          </w:tcPr>
          <w:p>
            <w:r>
              <w:rPr>
                <w:sz w:val="16"/>
              </w:rPr>
              <w:t>Use backup facilitator pool for schedule resilience</w:t>
            </w:r>
          </w:p>
        </w:tc>
        <w:tc>
          <w:tcPr>
            <w:tcW w:type="dxa" w:w="2556"/>
            <w:vAlign w:val="center"/>
          </w:tcPr>
          <w:p>
            <w:r>
              <w:rPr>
                <w:sz w:val="16"/>
              </w:rPr>
              <w:t>L&amp;D Lead</w:t>
            </w:r>
          </w:p>
        </w:tc>
        <w:tc>
          <w:tcPr>
            <w:tcW w:type="dxa" w:w="2556"/>
            <w:vAlign w:val="center"/>
          </w:tcPr>
          <w:p>
            <w:r>
              <w:rPr>
                <w:sz w:val="16"/>
              </w:rPr>
              <w:t>May 15, 2026</w:t>
            </w:r>
          </w:p>
        </w:tc>
      </w:tr>
      <w:tr>
        <w:tc>
          <w:tcPr>
            <w:tcW w:type="dxa" w:w="2556"/>
            <w:vAlign w:val="center"/>
          </w:tcPr>
          <w:p>
            <w:r>
              <w:rPr>
                <w:sz w:val="16"/>
              </w:rPr>
              <w:t>DEC-06</w:t>
            </w:r>
          </w:p>
        </w:tc>
        <w:tc>
          <w:tcPr>
            <w:tcW w:type="dxa" w:w="2556"/>
            <w:vAlign w:val="center"/>
          </w:tcPr>
          <w:p>
            <w:r>
              <w:rPr>
                <w:sz w:val="16"/>
              </w:rPr>
              <w:t>Proceed with LATAM communications after regional validation</w:t>
            </w:r>
          </w:p>
        </w:tc>
        <w:tc>
          <w:tcPr>
            <w:tcW w:type="dxa" w:w="2556"/>
            <w:vAlign w:val="center"/>
          </w:tcPr>
          <w:p>
            <w:r>
              <w:rPr>
                <w:sz w:val="16"/>
              </w:rPr>
              <w:t>Regional HR Lead</w:t>
            </w:r>
          </w:p>
        </w:tc>
        <w:tc>
          <w:tcPr>
            <w:tcW w:type="dxa" w:w="2556"/>
            <w:vAlign w:val="center"/>
          </w:tcPr>
          <w:p>
            <w:r>
              <w:rPr>
                <w:sz w:val="16"/>
              </w:rPr>
              <w:t>May 15, 2026</w:t>
            </w:r>
          </w:p>
        </w:tc>
      </w:tr>
    </w:tbl>
    <w:p>
      <w:pPr>
        <w:pStyle w:val="Heading1"/>
      </w:pPr>
      <w:r>
        <w:t>Action Items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4472C4"/>
            <w:vAlign w:val="center"/>
          </w:tcPr>
          <w:p>
            <w:r>
              <w:rPr>
                <w:b/>
                <w:color w:val="FFFFFF"/>
                <w:sz w:val="17"/>
              </w:rPr>
              <w:t>Action</w:t>
            </w:r>
          </w:p>
        </w:tc>
        <w:tc>
          <w:tcPr>
            <w:tcW w:type="dxa" w:w="2556"/>
            <w:shd w:fill="4472C4"/>
            <w:vAlign w:val="center"/>
          </w:tcPr>
          <w:p>
            <w:r>
              <w:rPr>
                <w:b/>
                <w:color w:val="FFFFFF"/>
                <w:sz w:val="17"/>
              </w:rPr>
              <w:t>Owner</w:t>
            </w:r>
          </w:p>
        </w:tc>
        <w:tc>
          <w:tcPr>
            <w:tcW w:type="dxa" w:w="2556"/>
            <w:shd w:fill="4472C4"/>
            <w:vAlign w:val="center"/>
          </w:tcPr>
          <w:p>
            <w:r>
              <w:rPr>
                <w:b/>
                <w:color w:val="FFFFFF"/>
                <w:sz w:val="17"/>
              </w:rPr>
              <w:t>Due</w:t>
            </w:r>
          </w:p>
        </w:tc>
        <w:tc>
          <w:tcPr>
            <w:tcW w:type="dxa" w:w="2556"/>
            <w:shd w:fill="4472C4"/>
            <w:vAlign w:val="center"/>
          </w:tcPr>
          <w:p>
            <w:r>
              <w:rPr>
                <w:b/>
                <w:color w:val="FFFFFF"/>
                <w:sz w:val="17"/>
              </w:rPr>
              <w:t>Status</w:t>
            </w:r>
          </w:p>
        </w:tc>
      </w:tr>
      <w:tr>
        <w:tc>
          <w:tcPr>
            <w:tcW w:type="dxa" w:w="2556"/>
            <w:vAlign w:val="center"/>
          </w:tcPr>
          <w:p>
            <w:r>
              <w:rPr>
                <w:sz w:val="16"/>
              </w:rPr>
              <w:t>Reconcile LMS manager population</w:t>
            </w:r>
          </w:p>
        </w:tc>
        <w:tc>
          <w:tcPr>
            <w:tcW w:type="dxa" w:w="2556"/>
            <w:vAlign w:val="center"/>
          </w:tcPr>
          <w:p>
            <w:r>
              <w:rPr>
                <w:sz w:val="16"/>
              </w:rPr>
              <w:t>LMS Administrator</w:t>
            </w:r>
          </w:p>
        </w:tc>
        <w:tc>
          <w:tcPr>
            <w:tcW w:type="dxa" w:w="2556"/>
            <w:vAlign w:val="center"/>
          </w:tcPr>
          <w:p>
            <w:r>
              <w:rPr>
                <w:sz w:val="16"/>
              </w:rPr>
              <w:t>May 18, 2026</w:t>
            </w:r>
          </w:p>
        </w:tc>
        <w:tc>
          <w:tcPr>
            <w:tcW w:type="dxa" w:w="2556"/>
            <w:vAlign w:val="center"/>
          </w:tcPr>
          <w:p>
            <w:r>
              <w:rPr>
                <w:sz w:val="16"/>
              </w:rPr>
              <w:t>Complete</w:t>
            </w:r>
          </w:p>
        </w:tc>
      </w:tr>
      <w:tr>
        <w:tc>
          <w:tcPr>
            <w:tcW w:type="dxa" w:w="2556"/>
            <w:vAlign w:val="center"/>
          </w:tcPr>
          <w:p>
            <w:r>
              <w:rPr>
                <w:sz w:val="16"/>
              </w:rPr>
              <w:t>Confirm APAC facilitator backups</w:t>
            </w:r>
          </w:p>
        </w:tc>
        <w:tc>
          <w:tcPr>
            <w:tcW w:type="dxa" w:w="2556"/>
            <w:vAlign w:val="center"/>
          </w:tcPr>
          <w:p>
            <w:r>
              <w:rPr>
                <w:sz w:val="16"/>
              </w:rPr>
              <w:t>L&amp;D Lead</w:t>
            </w:r>
          </w:p>
        </w:tc>
        <w:tc>
          <w:tcPr>
            <w:tcW w:type="dxa" w:w="2556"/>
            <w:vAlign w:val="center"/>
          </w:tcPr>
          <w:p>
            <w:r>
              <w:rPr>
                <w:sz w:val="16"/>
              </w:rPr>
              <w:t>May 18, 2026</w:t>
            </w:r>
          </w:p>
        </w:tc>
        <w:tc>
          <w:tcPr>
            <w:tcW w:type="dxa" w:w="2556"/>
            <w:vAlign w:val="center"/>
          </w:tcPr>
          <w:p>
            <w:r>
              <w:rPr>
                <w:sz w:val="16"/>
              </w:rPr>
              <w:t>Complete</w:t>
            </w:r>
          </w:p>
        </w:tc>
      </w:tr>
      <w:tr>
        <w:tc>
          <w:tcPr>
            <w:tcW w:type="dxa" w:w="2556"/>
            <w:vAlign w:val="center"/>
          </w:tcPr>
          <w:p>
            <w:r>
              <w:rPr>
                <w:sz w:val="16"/>
              </w:rPr>
              <w:t>Release LATAM participant communication</w:t>
            </w:r>
          </w:p>
        </w:tc>
        <w:tc>
          <w:tcPr>
            <w:tcW w:type="dxa" w:w="2556"/>
            <w:vAlign w:val="center"/>
          </w:tcPr>
          <w:p>
            <w:r>
              <w:rPr>
                <w:sz w:val="16"/>
              </w:rPr>
              <w:t>HR Communications</w:t>
            </w:r>
          </w:p>
        </w:tc>
        <w:tc>
          <w:tcPr>
            <w:tcW w:type="dxa" w:w="2556"/>
            <w:vAlign w:val="center"/>
          </w:tcPr>
          <w:p>
            <w:r>
              <w:rPr>
                <w:sz w:val="16"/>
              </w:rPr>
              <w:t>May 20, 2026</w:t>
            </w:r>
          </w:p>
        </w:tc>
        <w:tc>
          <w:tcPr>
            <w:tcW w:type="dxa" w:w="2556"/>
            <w:vAlign w:val="center"/>
          </w:tcPr>
          <w:p>
            <w:r>
              <w:rPr>
                <w:sz w:val="16"/>
              </w:rPr>
              <w:t>Complete</w:t>
            </w:r>
          </w:p>
        </w:tc>
      </w:tr>
      <w:tr>
        <w:tc>
          <w:tcPr>
            <w:tcW w:type="dxa" w:w="2556"/>
            <w:vAlign w:val="center"/>
          </w:tcPr>
          <w:p>
            <w:r>
              <w:rPr>
                <w:sz w:val="16"/>
              </w:rPr>
              <w:t>Update dashboard with Week 4 results</w:t>
            </w:r>
          </w:p>
        </w:tc>
        <w:tc>
          <w:tcPr>
            <w:tcW w:type="dxa" w:w="2556"/>
            <w:vAlign w:val="center"/>
          </w:tcPr>
          <w:p>
            <w:r>
              <w:rPr>
                <w:sz w:val="16"/>
              </w:rPr>
              <w:t>Project Coordinator</w:t>
            </w:r>
          </w:p>
        </w:tc>
        <w:tc>
          <w:tcPr>
            <w:tcW w:type="dxa" w:w="2556"/>
            <w:vAlign w:val="center"/>
          </w:tcPr>
          <w:p>
            <w:r>
              <w:rPr>
                <w:sz w:val="16"/>
              </w:rPr>
              <w:t>May 18, 2026</w:t>
            </w:r>
          </w:p>
        </w:tc>
        <w:tc>
          <w:tcPr>
            <w:tcW w:type="dxa" w:w="2556"/>
            <w:vAlign w:val="center"/>
          </w:tcPr>
          <w:p>
            <w:r>
              <w:rPr>
                <w:sz w:val="16"/>
              </w:rPr>
              <w:t>Complete</w:t>
            </w:r>
          </w:p>
        </w:tc>
      </w:tr>
    </w:tbl>
    <w:p>
      <w:pPr>
        <w:pStyle w:val="Heading1"/>
      </w:pPr>
      <w:r>
        <w:t>RAID Review</w:t>
      </w:r>
    </w:p>
    <w:p>
      <w:r>
        <w:t>No new critical risks were identified. Existing localization and facilitator risks remained controlled. The LMS enrollment issue was assigned for immediate correction and reconciliation.</w:t>
      </w:r>
    </w:p>
    <w:sectPr w:rsidR="00FC693F" w:rsidRPr="0006063C" w:rsidSect="00034616">
      <w:head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Global Leadership Training Rollout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472C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