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Weekly Status Report - Week 6</w:t>
      </w:r>
    </w:p>
    <w:p>
      <w:pPr>
        <w:jc w:val="center"/>
      </w:pPr>
      <w:r>
        <w:rPr>
          <w:color w:val="5A5A5A"/>
          <w:sz w:val="20"/>
        </w:rPr>
        <w:t>Global Leadership Training Rollout | Simulated Portfolio Case Study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4472C4"/>
            <w:vAlign w:val="center"/>
          </w:tcPr>
          <w:p>
            <w:r>
              <w:rPr>
                <w:b/>
                <w:color w:val="FFFFFF"/>
                <w:sz w:val="17"/>
              </w:rPr>
              <w:t>Overall Status</w:t>
            </w:r>
          </w:p>
        </w:tc>
        <w:tc>
          <w:tcPr>
            <w:tcW w:type="dxa" w:w="2045"/>
            <w:shd w:fill="4472C4"/>
            <w:vAlign w:val="center"/>
          </w:tcPr>
          <w:p>
            <w:r>
              <w:rPr>
                <w:b/>
                <w:color w:val="FFFFFF"/>
                <w:sz w:val="17"/>
              </w:rPr>
              <w:t>Schedule</w:t>
            </w:r>
          </w:p>
        </w:tc>
        <w:tc>
          <w:tcPr>
            <w:tcW w:type="dxa" w:w="2045"/>
            <w:shd w:fill="4472C4"/>
            <w:vAlign w:val="center"/>
          </w:tcPr>
          <w:p>
            <w:r>
              <w:rPr>
                <w:b/>
                <w:color w:val="FFFFFF"/>
                <w:sz w:val="17"/>
              </w:rPr>
              <w:t>Budget</w:t>
            </w:r>
          </w:p>
        </w:tc>
        <w:tc>
          <w:tcPr>
            <w:tcW w:type="dxa" w:w="2045"/>
            <w:shd w:fill="4472C4"/>
            <w:vAlign w:val="center"/>
          </w:tcPr>
          <w:p>
            <w:r>
              <w:rPr>
                <w:b/>
                <w:color w:val="FFFFFF"/>
                <w:sz w:val="17"/>
              </w:rPr>
              <w:t>Scope</w:t>
            </w:r>
          </w:p>
        </w:tc>
        <w:tc>
          <w:tcPr>
            <w:tcW w:type="dxa" w:w="2045"/>
            <w:shd w:fill="4472C4"/>
            <w:vAlign w:val="center"/>
          </w:tcPr>
          <w:p>
            <w:r>
              <w:rPr>
                <w:b/>
                <w:color w:val="FFFFFF"/>
                <w:sz w:val="17"/>
              </w:rPr>
              <w:t>Quality</w:t>
            </w:r>
          </w:p>
        </w:tc>
      </w:tr>
      <w:tr>
        <w:tc>
          <w:tcPr>
            <w:tcW w:type="dxa" w:w="2045"/>
            <w:vAlign w:val="center"/>
          </w:tcPr>
          <w:p>
            <w:r>
              <w:rPr>
                <w:sz w:val="16"/>
              </w:rPr>
              <w:t>Green</w:t>
            </w:r>
          </w:p>
        </w:tc>
        <w:tc>
          <w:tcPr>
            <w:tcW w:type="dxa" w:w="2045"/>
            <w:vAlign w:val="center"/>
          </w:tcPr>
          <w:p>
            <w:r>
              <w:rPr>
                <w:sz w:val="16"/>
              </w:rPr>
              <w:t>Green</w:t>
            </w:r>
          </w:p>
        </w:tc>
        <w:tc>
          <w:tcPr>
            <w:tcW w:type="dxa" w:w="2045"/>
            <w:vAlign w:val="center"/>
          </w:tcPr>
          <w:p>
            <w:r>
              <w:rPr>
                <w:sz w:val="16"/>
              </w:rPr>
              <w:t>Green</w:t>
            </w:r>
          </w:p>
        </w:tc>
        <w:tc>
          <w:tcPr>
            <w:tcW w:type="dxa" w:w="2045"/>
            <w:vAlign w:val="center"/>
          </w:tcPr>
          <w:p>
            <w:r>
              <w:rPr>
                <w:sz w:val="16"/>
              </w:rPr>
              <w:t>Green</w:t>
            </w:r>
          </w:p>
        </w:tc>
        <w:tc>
          <w:tcPr>
            <w:tcW w:type="dxa" w:w="2045"/>
            <w:vAlign w:val="center"/>
          </w:tcPr>
          <w:p>
            <w:r>
              <w:rPr>
                <w:sz w:val="16"/>
              </w:rPr>
              <w:t>Green</w:t>
            </w:r>
          </w:p>
        </w:tc>
      </w:tr>
    </w:tbl>
    <w:p>
      <w:pPr>
        <w:pStyle w:val="Heading1"/>
      </w:pPr>
      <w:r>
        <w:t>Executive Summary</w:t>
      </w:r>
    </w:p>
    <w:p>
      <w:r>
        <w:t>The global leadership training rollout completed all planned regional delivery and entered closeout. All six milestones are complete, no risks or issues remain open, and final program performance exceeded the attendance, completion, and satisfaction targets.</w:t>
      </w:r>
    </w:p>
    <w:p>
      <w:pPr>
        <w:pStyle w:val="Heading1"/>
      </w:pPr>
      <w:r>
        <w:t>Key Performance Indicators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4472C4"/>
            <w:vAlign w:val="center"/>
          </w:tcPr>
          <w:p>
            <w:r>
              <w:rPr>
                <w:b/>
                <w:color w:val="FFFFFF"/>
                <w:sz w:val="17"/>
              </w:rPr>
              <w:t>KPI</w:t>
            </w:r>
          </w:p>
        </w:tc>
        <w:tc>
          <w:tcPr>
            <w:tcW w:type="dxa" w:w="2556"/>
            <w:shd w:fill="4472C4"/>
            <w:vAlign w:val="center"/>
          </w:tcPr>
          <w:p>
            <w:r>
              <w:rPr>
                <w:b/>
                <w:color w:val="FFFFFF"/>
                <w:sz w:val="17"/>
              </w:rPr>
              <w:t>Current</w:t>
            </w:r>
          </w:p>
        </w:tc>
        <w:tc>
          <w:tcPr>
            <w:tcW w:type="dxa" w:w="2556"/>
            <w:shd w:fill="4472C4"/>
            <w:vAlign w:val="center"/>
          </w:tcPr>
          <w:p>
            <w:r>
              <w:rPr>
                <w:b/>
                <w:color w:val="FFFFFF"/>
                <w:sz w:val="17"/>
              </w:rPr>
              <w:t>Target / Baseline</w:t>
            </w:r>
          </w:p>
        </w:tc>
        <w:tc>
          <w:tcPr>
            <w:tcW w:type="dxa" w:w="2556"/>
            <w:shd w:fill="4472C4"/>
            <w:vAlign w:val="center"/>
          </w:tcPr>
          <w:p>
            <w:r>
              <w:rPr>
                <w:b/>
                <w:color w:val="FFFFFF"/>
                <w:sz w:val="17"/>
              </w:rPr>
              <w:t>Status</w:t>
            </w:r>
          </w:p>
        </w:tc>
      </w:tr>
      <w:tr>
        <w:tc>
          <w:tcPr>
            <w:tcW w:type="dxa" w:w="2556"/>
            <w:vAlign w:val="center"/>
          </w:tcPr>
          <w:p>
            <w:r>
              <w:rPr>
                <w:sz w:val="16"/>
              </w:rPr>
              <w:t>Target leaders</w:t>
            </w:r>
          </w:p>
        </w:tc>
        <w:tc>
          <w:tcPr>
            <w:tcW w:type="dxa" w:w="2556"/>
            <w:vAlign w:val="center"/>
          </w:tcPr>
          <w:p>
            <w:r>
              <w:rPr>
                <w:sz w:val="16"/>
              </w:rPr>
              <w:t>1,240</w:t>
            </w:r>
          </w:p>
        </w:tc>
        <w:tc>
          <w:tcPr>
            <w:tcW w:type="dxa" w:w="2556"/>
            <w:vAlign w:val="center"/>
          </w:tcPr>
          <w:p>
            <w:r>
              <w:rPr>
                <w:sz w:val="16"/>
              </w:rPr>
              <w:t>1,240</w:t>
            </w:r>
          </w:p>
        </w:tc>
        <w:tc>
          <w:tcPr>
            <w:tcW w:type="dxa" w:w="2556"/>
            <w:vAlign w:val="center"/>
          </w:tcPr>
          <w:p>
            <w:r>
              <w:rPr>
                <w:sz w:val="16"/>
              </w:rPr>
              <w:t>Complete</w:t>
            </w:r>
          </w:p>
        </w:tc>
      </w:tr>
      <w:tr>
        <w:tc>
          <w:tcPr>
            <w:tcW w:type="dxa" w:w="2556"/>
            <w:vAlign w:val="center"/>
          </w:tcPr>
          <w:p>
            <w:r>
              <w:rPr>
                <w:sz w:val="16"/>
              </w:rPr>
              <w:t>Completed leaders</w:t>
            </w:r>
          </w:p>
        </w:tc>
        <w:tc>
          <w:tcPr>
            <w:tcW w:type="dxa" w:w="2556"/>
            <w:vAlign w:val="center"/>
          </w:tcPr>
          <w:p>
            <w:r>
              <w:rPr>
                <w:sz w:val="16"/>
              </w:rPr>
              <w:t>1,132</w:t>
            </w:r>
          </w:p>
        </w:tc>
        <w:tc>
          <w:tcPr>
            <w:tcW w:type="dxa" w:w="2556"/>
            <w:vAlign w:val="center"/>
          </w:tcPr>
          <w:p>
            <w:r>
              <w:rPr>
                <w:sz w:val="16"/>
              </w:rPr>
              <w:t>&gt;=95% of attendees</w:t>
            </w:r>
          </w:p>
        </w:tc>
        <w:tc>
          <w:tcPr>
            <w:tcW w:type="dxa" w:w="2556"/>
            <w:vAlign w:val="center"/>
          </w:tcPr>
          <w:p>
            <w:r>
              <w:rPr>
                <w:sz w:val="16"/>
              </w:rPr>
              <w:t>Met</w:t>
            </w:r>
          </w:p>
        </w:tc>
      </w:tr>
      <w:tr>
        <w:tc>
          <w:tcPr>
            <w:tcW w:type="dxa" w:w="2556"/>
            <w:vAlign w:val="center"/>
          </w:tcPr>
          <w:p>
            <w:r>
              <w:rPr>
                <w:sz w:val="16"/>
              </w:rPr>
              <w:t>Attendance rate</w:t>
            </w:r>
          </w:p>
        </w:tc>
        <w:tc>
          <w:tcPr>
            <w:tcW w:type="dxa" w:w="2556"/>
            <w:vAlign w:val="center"/>
          </w:tcPr>
          <w:p>
            <w:r>
              <w:rPr>
                <w:sz w:val="16"/>
              </w:rPr>
              <w:t>96.6%</w:t>
            </w:r>
          </w:p>
        </w:tc>
        <w:tc>
          <w:tcPr>
            <w:tcW w:type="dxa" w:w="2556"/>
            <w:vAlign w:val="center"/>
          </w:tcPr>
          <w:p>
            <w:r>
              <w:rPr>
                <w:sz w:val="16"/>
              </w:rPr>
              <w:t>&gt;=95%</w:t>
            </w:r>
          </w:p>
        </w:tc>
        <w:tc>
          <w:tcPr>
            <w:tcW w:type="dxa" w:w="2556"/>
            <w:vAlign w:val="center"/>
          </w:tcPr>
          <w:p>
            <w:r>
              <w:rPr>
                <w:sz w:val="16"/>
              </w:rPr>
              <w:t>Met</w:t>
            </w:r>
          </w:p>
        </w:tc>
      </w:tr>
      <w:tr>
        <w:tc>
          <w:tcPr>
            <w:tcW w:type="dxa" w:w="2556"/>
            <w:vAlign w:val="center"/>
          </w:tcPr>
          <w:p>
            <w:r>
              <w:rPr>
                <w:sz w:val="16"/>
              </w:rPr>
              <w:t>Completion rate</w:t>
            </w:r>
          </w:p>
        </w:tc>
        <w:tc>
          <w:tcPr>
            <w:tcW w:type="dxa" w:w="2556"/>
            <w:vAlign w:val="center"/>
          </w:tcPr>
          <w:p>
            <w:r>
              <w:rPr>
                <w:sz w:val="16"/>
              </w:rPr>
              <w:t>97.6%</w:t>
            </w:r>
          </w:p>
        </w:tc>
        <w:tc>
          <w:tcPr>
            <w:tcW w:type="dxa" w:w="2556"/>
            <w:vAlign w:val="center"/>
          </w:tcPr>
          <w:p>
            <w:r>
              <w:rPr>
                <w:sz w:val="16"/>
              </w:rPr>
              <w:t>&gt;=95%</w:t>
            </w:r>
          </w:p>
        </w:tc>
        <w:tc>
          <w:tcPr>
            <w:tcW w:type="dxa" w:w="2556"/>
            <w:vAlign w:val="center"/>
          </w:tcPr>
          <w:p>
            <w:r>
              <w:rPr>
                <w:sz w:val="16"/>
              </w:rPr>
              <w:t>Met</w:t>
            </w:r>
          </w:p>
        </w:tc>
      </w:tr>
      <w:tr>
        <w:tc>
          <w:tcPr>
            <w:tcW w:type="dxa" w:w="2556"/>
            <w:vAlign w:val="center"/>
          </w:tcPr>
          <w:p>
            <w:r>
              <w:rPr>
                <w:sz w:val="16"/>
              </w:rPr>
              <w:t>Average satisfaction</w:t>
            </w:r>
          </w:p>
        </w:tc>
        <w:tc>
          <w:tcPr>
            <w:tcW w:type="dxa" w:w="2556"/>
            <w:vAlign w:val="center"/>
          </w:tcPr>
          <w:p>
            <w:r>
              <w:rPr>
                <w:sz w:val="16"/>
              </w:rPr>
              <w:t>4.6 / 5</w:t>
            </w:r>
          </w:p>
        </w:tc>
        <w:tc>
          <w:tcPr>
            <w:tcW w:type="dxa" w:w="2556"/>
            <w:vAlign w:val="center"/>
          </w:tcPr>
          <w:p>
            <w:r>
              <w:rPr>
                <w:sz w:val="16"/>
              </w:rPr>
              <w:t>&gt;=4.3 / 5</w:t>
            </w:r>
          </w:p>
        </w:tc>
        <w:tc>
          <w:tcPr>
            <w:tcW w:type="dxa" w:w="2556"/>
            <w:vAlign w:val="center"/>
          </w:tcPr>
          <w:p>
            <w:r>
              <w:rPr>
                <w:sz w:val="16"/>
              </w:rPr>
              <w:t>Met</w:t>
            </w:r>
          </w:p>
        </w:tc>
      </w:tr>
      <w:tr>
        <w:tc>
          <w:tcPr>
            <w:tcW w:type="dxa" w:w="2556"/>
            <w:vAlign w:val="center"/>
          </w:tcPr>
          <w:p>
            <w:r>
              <w:rPr>
                <w:sz w:val="16"/>
              </w:rPr>
              <w:t>Sessions delivered</w:t>
            </w:r>
          </w:p>
        </w:tc>
        <w:tc>
          <w:tcPr>
            <w:tcW w:type="dxa" w:w="2556"/>
            <w:vAlign w:val="center"/>
          </w:tcPr>
          <w:p>
            <w:r>
              <w:rPr>
                <w:sz w:val="16"/>
              </w:rPr>
              <w:t>45</w:t>
            </w:r>
          </w:p>
        </w:tc>
        <w:tc>
          <w:tcPr>
            <w:tcW w:type="dxa" w:w="2556"/>
            <w:vAlign w:val="center"/>
          </w:tcPr>
          <w:p>
            <w:r>
              <w:rPr>
                <w:sz w:val="16"/>
              </w:rPr>
              <w:t>45</w:t>
            </w:r>
          </w:p>
        </w:tc>
        <w:tc>
          <w:tcPr>
            <w:tcW w:type="dxa" w:w="2556"/>
            <w:vAlign w:val="center"/>
          </w:tcPr>
          <w:p>
            <w:r>
              <w:rPr>
                <w:sz w:val="16"/>
              </w:rPr>
              <w:t>Complete</w:t>
            </w:r>
          </w:p>
        </w:tc>
      </w:tr>
      <w:tr>
        <w:tc>
          <w:tcPr>
            <w:tcW w:type="dxa" w:w="2556"/>
            <w:vAlign w:val="center"/>
          </w:tcPr>
          <w:p>
            <w:r>
              <w:rPr>
                <w:sz w:val="16"/>
              </w:rPr>
              <w:t>Budget</w:t>
            </w:r>
          </w:p>
        </w:tc>
        <w:tc>
          <w:tcPr>
            <w:tcW w:type="dxa" w:w="2556"/>
            <w:vAlign w:val="center"/>
          </w:tcPr>
          <w:p>
            <w:r>
              <w:rPr>
                <w:sz w:val="16"/>
              </w:rPr>
              <w:t>$126,300</w:t>
            </w:r>
          </w:p>
        </w:tc>
        <w:tc>
          <w:tcPr>
            <w:tcW w:type="dxa" w:w="2556"/>
            <w:vAlign w:val="center"/>
          </w:tcPr>
          <w:p>
            <w:r>
              <w:rPr>
                <w:sz w:val="16"/>
              </w:rPr>
              <w:t>$128,000</w:t>
            </w:r>
          </w:p>
        </w:tc>
        <w:tc>
          <w:tcPr>
            <w:tcW w:type="dxa" w:w="2556"/>
            <w:vAlign w:val="center"/>
          </w:tcPr>
          <w:p>
            <w:r>
              <w:rPr>
                <w:sz w:val="16"/>
              </w:rPr>
              <w:t>1.3% favorable</w:t>
            </w:r>
          </w:p>
        </w:tc>
      </w:tr>
    </w:tbl>
    <w:p>
      <w:pPr>
        <w:pStyle w:val="Heading1"/>
      </w:pPr>
      <w:r>
        <w:t>Completed This Week</w:t>
      </w:r>
    </w:p>
    <w:p>
      <w:pPr>
        <w:pStyle w:val="ListBullet"/>
      </w:pPr>
      <w:r>
        <w:t>Completed final LATAM cohort reconciliation.</w:t>
      </w:r>
    </w:p>
    <w:p>
      <w:pPr>
        <w:pStyle w:val="ListBullet"/>
      </w:pPr>
      <w:r>
        <w:t>Closed remaining RAID items.</w:t>
      </w:r>
    </w:p>
    <w:p>
      <w:pPr>
        <w:pStyle w:val="ListBullet"/>
      </w:pPr>
      <w:r>
        <w:t>Validated final budget actuals.</w:t>
      </w:r>
    </w:p>
    <w:p>
      <w:pPr>
        <w:pStyle w:val="ListBullet"/>
      </w:pPr>
      <w:r>
        <w:t>Prepared executive closeout package.</w:t>
      </w:r>
    </w:p>
    <w:p>
      <w:pPr>
        <w:pStyle w:val="ListBullet"/>
      </w:pPr>
      <w:r>
        <w:t>Consolidated lessons learned and participant feedback.</w:t>
      </w:r>
    </w:p>
    <w:p>
      <w:pPr>
        <w:pStyle w:val="Heading1"/>
      </w:pPr>
      <w:r>
        <w:t>Next Steps</w:t>
      </w:r>
    </w:p>
    <w:p>
      <w:pPr>
        <w:pStyle w:val="ListBullet"/>
      </w:pPr>
      <w:r>
        <w:t>Deliver executive closeout update.</w:t>
      </w:r>
    </w:p>
    <w:p>
      <w:pPr>
        <w:pStyle w:val="ListBullet"/>
      </w:pPr>
      <w:r>
        <w:t>Archive project artifacts and final decision log.</w:t>
      </w:r>
    </w:p>
    <w:p>
      <w:pPr>
        <w:pStyle w:val="ListBullet"/>
      </w:pPr>
      <w:r>
        <w:t>Transition ongoing leadership-program ownership to L&amp;D operations.</w:t>
      </w:r>
    </w:p>
    <w:p>
      <w:pPr>
        <w:pStyle w:val="Heading1"/>
      </w:pPr>
      <w:r>
        <w:t>Decisions / Escalations</w:t>
      </w:r>
    </w:p>
    <w:p>
      <w:r>
        <w:t>No executive escalations are required. Final closeout approval is the remaining governance action.</w:t>
      </w:r>
    </w:p>
    <w:sectPr w:rsidR="00FC693F" w:rsidRPr="0006063C" w:rsidSect="00034616">
      <w:head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Global Leadership Training Rollout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472C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