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PMO Readiness Summary</w:t>
      </w:r>
    </w:p>
    <w:p>
      <w:r>
        <w:t>This project demonstrates full PMO-aligned delivery capability including governance, financial control, risk management, stakeholder coordination, and executive reporting.</w:t>
      </w:r>
    </w:p>
    <w:p>
      <w:pPr>
        <w:pStyle w:val="Heading2"/>
      </w:pPr>
      <w:r>
        <w:t>Why This Project Is Job-Ready</w:t>
      </w:r>
    </w:p>
    <w:p>
      <w:r>
        <w:t>• End-to-end SDLC coverage</w:t>
        <w:br/>
        <w:t>• Budget ownership and variance control</w:t>
        <w:br/>
        <w:t>• Formal RACI and RAID management</w:t>
        <w:br/>
        <w:t>• Change control governance</w:t>
        <w:br/>
        <w:t>• Executive-level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