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Lessons Learned</w:t>
      </w:r>
    </w:p>
    <w:p>
      <w:pPr>
        <w:pStyle w:val="Heading1"/>
      </w:pPr>
      <w:r>
        <w:t>What Went Well</w:t>
      </w:r>
    </w:p>
    <w:p>
      <w:r>
        <w:t>Strong stakeholder engagement</w:t>
      </w:r>
    </w:p>
    <w:p>
      <w:r>
        <w:t>Effective sprint delivery cadence</w:t>
      </w:r>
    </w:p>
    <w:p>
      <w:pPr>
        <w:pStyle w:val="Heading1"/>
      </w:pPr>
      <w:r>
        <w:t>What Didn't</w:t>
      </w:r>
    </w:p>
    <w:p>
      <w:r>
        <w:t>Initial scope underestimated integration complexity</w:t>
      </w:r>
    </w:p>
    <w:p>
      <w:pPr>
        <w:pStyle w:val="Heading1"/>
      </w:pPr>
      <w:r>
        <w:t>Future Improvements</w:t>
      </w:r>
    </w:p>
    <w:p>
      <w:r>
        <w:t>Earlier architecture validation</w:t>
      </w:r>
    </w:p>
    <w:p>
      <w:r>
        <w:t>Additional QA cycles earlier in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