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Documentation</w:t>
      </w:r>
    </w:p>
    <w:p>
      <w:pPr>
        <w:pStyle w:val="Heading1"/>
      </w:pPr>
      <w:r>
        <w:t>Business Requirements</w:t>
      </w:r>
    </w:p>
    <w:p>
      <w:r>
        <w:t>Centralized data visibility</w:t>
      </w:r>
    </w:p>
    <w:p>
      <w:r>
        <w:t>Executive performance dashboards</w:t>
      </w:r>
    </w:p>
    <w:p>
      <w:r>
        <w:t>Automation of operational workflows</w:t>
      </w:r>
    </w:p>
    <w:p>
      <w:pPr>
        <w:pStyle w:val="Heading1"/>
      </w:pPr>
      <w:r>
        <w:t>Functional Requirements</w:t>
      </w:r>
    </w:p>
    <w:p>
      <w:r>
        <w:t>Secure user authentication</w:t>
      </w:r>
    </w:p>
    <w:p>
      <w:r>
        <w:t>Automated data processing</w:t>
      </w:r>
    </w:p>
    <w:p>
      <w:r>
        <w:t>Real‑time analytics dashboards</w:t>
      </w:r>
    </w:p>
    <w:p>
      <w:pPr>
        <w:pStyle w:val="Heading1"/>
      </w:pPr>
      <w:r>
        <w:t>Acceptance Criteria</w:t>
      </w:r>
    </w:p>
    <w:p>
      <w:r>
        <w:t>System processes transactions successfully</w:t>
      </w:r>
    </w:p>
    <w:p>
      <w:r>
        <w:t>Reports refresh within 5 minutes</w:t>
      </w:r>
    </w:p>
    <w:p>
      <w:r>
        <w:t>Users can access dashboards without performance degradation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