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supp_figures</w:t>
      </w:r>
    </w:p>
    <w:p>
      <w:pPr>
        <w:pStyle w:val="Author"/>
      </w:pPr>
      <w:r>
        <w:t xml:space="preserve">James</w:t>
      </w:r>
      <w:r>
        <w:t xml:space="preserve"> </w:t>
      </w:r>
      <w:r>
        <w:t xml:space="preserve">Cranston</w:t>
      </w:r>
    </w:p>
    <w:p>
      <w:pPr>
        <w:pStyle w:val="Date"/>
      </w:pPr>
      <w:r>
        <w:t xml:space="preserve">20/07/2021</w:t>
      </w:r>
    </w:p>
    <w:p>
      <w:pPr>
        <w:pStyle w:val="SourceCode"/>
      </w:pPr>
      <w:r>
        <w:rPr>
          <w:rStyle w:val="NormalTok"/>
        </w:rPr>
        <w:t xml:space="preserve">figures</w:t>
      </w:r>
      <w:r>
        <w:rPr>
          <w:rStyle w:val="SpecialCharTok"/>
        </w:rPr>
        <w:t xml:space="preserve">$</w:t>
      </w:r>
      <w:r>
        <w:rPr>
          <w:rStyle w:val="NormalTok"/>
        </w:rPr>
        <w:t xml:space="preserve">supp_fig_1</w:t>
      </w:r>
    </w:p>
    <w:p>
      <w:pPr>
        <w:pStyle w:val="FirstParagraph"/>
      </w:pPr>
      <w:r>
        <w:drawing>
          <wp:inline>
            <wp:extent cx="4620126" cy="3696101"/>
            <wp:effectExtent b="0" l="0" r="0" t="0"/>
            <wp:docPr descr="" title="" id="1" name="Picture"/>
            <a:graphic>
              <a:graphicData uri="http://schemas.openxmlformats.org/drawingml/2006/picture">
                <pic:pic>
                  <pic:nvPicPr>
                    <pic:cNvPr descr="D:\Academic_Work\PhD%20Thesis\Chapter_2\Review%20Round%202\P&amp;N\doc\supp_figures_files/figure-docx/supp_fig_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S1 - The posterior predictions from a model inferring the probability of being male or female from the survey data (95 % credible intervals are show in blue. The proportion of each category in the UK 2011 census is shown in red. As the red lines fall outside the credible intervals there is a greater than 95% chance that proportions are different.</w:t>
      </w:r>
    </w:p>
    <w:p>
      <w:pPr>
        <w:pStyle w:val="SourceCode"/>
      </w:pPr>
      <w:r>
        <w:rPr>
          <w:rStyle w:val="NormalTok"/>
        </w:rPr>
        <w:t xml:space="preserve">figures</w:t>
      </w:r>
      <w:r>
        <w:rPr>
          <w:rStyle w:val="SpecialCharTok"/>
        </w:rPr>
        <w:t xml:space="preserve">$</w:t>
      </w:r>
      <w:r>
        <w:rPr>
          <w:rStyle w:val="NormalTok"/>
        </w:rPr>
        <w:t xml:space="preserve">supp_fig_2</w:t>
      </w:r>
    </w:p>
    <w:p>
      <w:pPr>
        <w:pStyle w:val="FirstParagraph"/>
      </w:pPr>
      <w:r>
        <w:drawing>
          <wp:inline>
            <wp:extent cx="4620126" cy="3696101"/>
            <wp:effectExtent b="0" l="0" r="0" t="0"/>
            <wp:docPr descr="" title="" id="1" name="Picture"/>
            <a:graphic>
              <a:graphicData uri="http://schemas.openxmlformats.org/drawingml/2006/picture">
                <pic:pic>
                  <pic:nvPicPr>
                    <pic:cNvPr descr="D:\Academic_Work\PhD%20Thesis\Chapter_2\Review%20Round%202\P&amp;N\doc\supp_figures_files/figure-docx/supp_fig_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S2 – The posterior predictions from a model inferring the probability of having a minimum educational qualification from the survey data (95 % credible intervals are show in blue. The proportion of each category in the UK 2011 census is shown in red. As the red lines fall outside the credible intervals for all except A-Levels there is a greater than 95% chance that proportions are different.</w:t>
      </w:r>
    </w:p>
    <w:p>
      <w:pPr>
        <w:pStyle w:val="SourceCode"/>
      </w:pPr>
      <w:r>
        <w:rPr>
          <w:rStyle w:val="NormalTok"/>
        </w:rPr>
        <w:t xml:space="preserve">figures</w:t>
      </w:r>
      <w:r>
        <w:rPr>
          <w:rStyle w:val="SpecialCharTok"/>
        </w:rPr>
        <w:t xml:space="preserve">$</w:t>
      </w:r>
      <w:r>
        <w:rPr>
          <w:rStyle w:val="NormalTok"/>
        </w:rPr>
        <w:t xml:space="preserve">supp_fig_3</w:t>
      </w:r>
    </w:p>
    <w:p>
      <w:pPr>
        <w:pStyle w:val="FirstParagraph"/>
      </w:pPr>
      <w:r>
        <w:drawing>
          <wp:inline>
            <wp:extent cx="4620126" cy="3696101"/>
            <wp:effectExtent b="0" l="0" r="0" t="0"/>
            <wp:docPr descr="" title="" id="1" name="Picture"/>
            <a:graphic>
              <a:graphicData uri="http://schemas.openxmlformats.org/drawingml/2006/picture">
                <pic:pic>
                  <pic:nvPicPr>
                    <pic:cNvPr descr="D:\Academic_Work\PhD%20Thesis\Chapter_2\Review%20Round%202\P&amp;N\doc\supp_figures_files/figure-docx/supp_fig_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S3 – Number of respondents aware of and/or able to name a range-shifting species in the UK.</w:t>
      </w:r>
    </w:p>
    <w:p>
      <w:pPr>
        <w:pStyle w:val="SourceCode"/>
      </w:pPr>
      <w:r>
        <w:rPr>
          <w:rStyle w:val="NormalTok"/>
        </w:rPr>
        <w:t xml:space="preserve">figures</w:t>
      </w:r>
      <w:r>
        <w:rPr>
          <w:rStyle w:val="SpecialCharTok"/>
        </w:rPr>
        <w:t xml:space="preserve">$</w:t>
      </w:r>
      <w:r>
        <w:rPr>
          <w:rStyle w:val="NormalTok"/>
        </w:rPr>
        <w:t xml:space="preserve">supp_fig_4</w:t>
      </w:r>
    </w:p>
    <w:p>
      <w:pPr>
        <w:pStyle w:val="SourceCode"/>
      </w:pPr>
      <w:r>
        <w:rPr>
          <w:rStyle w:val="VerbatimChar"/>
        </w:rPr>
        <w:t xml:space="preserve">## Warning: Removed 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D:\Academic_Work\PhD%20Thesis\Chapter_2\Review%20Round%202\P&amp;N\doc\supp_figures_files/figure-docx/supp_fig_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S4 – Histograms (continuous variables) and barcharts (discrete variables) showing the distributions of the collected respondent</w:t>
      </w:r>
      <w:r>
        <w:t xml:space="preserve"> </w:t>
      </w:r>
      <w:r>
        <w:t xml:space="preserve">characteristics.</w:t>
      </w:r>
    </w:p>
    <w:p>
      <w:pPr>
        <w:pStyle w:val="SourceCode"/>
      </w:pPr>
      <w:r>
        <w:rPr>
          <w:rStyle w:val="NormalTok"/>
        </w:rPr>
        <w:t xml:space="preserve">figures</w:t>
      </w:r>
      <w:r>
        <w:rPr>
          <w:rStyle w:val="SpecialCharTok"/>
        </w:rPr>
        <w:t xml:space="preserve">$</w:t>
      </w:r>
      <w:r>
        <w:rPr>
          <w:rStyle w:val="NormalTok"/>
        </w:rPr>
        <w:t xml:space="preserve">supp_fig_5</w:t>
      </w:r>
    </w:p>
    <w:p>
      <w:pPr>
        <w:pStyle w:val="FirstParagraph"/>
      </w:pPr>
      <w:r>
        <w:drawing>
          <wp:inline>
            <wp:extent cx="4620126" cy="3696101"/>
            <wp:effectExtent b="0" l="0" r="0" t="0"/>
            <wp:docPr descr="" title="" id="1" name="Picture"/>
            <a:graphic>
              <a:graphicData uri="http://schemas.openxmlformats.org/drawingml/2006/picture">
                <pic:pic>
                  <pic:nvPicPr>
                    <pic:cNvPr descr="D:\Academic_Work\PhD%20Thesis\Chapter_2\Review%20Round%202\P&amp;N\doc\supp_figures_files/figure-docx/supp_fig_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S5- The frequency of respondents from each UK postcode outward code at the end of the survey, (yellow areas had no respondents)</w:t>
      </w:r>
    </w:p>
    <w:p>
      <w:pPr>
        <w:pStyle w:val="SourceCode"/>
      </w:pPr>
      <w:r>
        <w:rPr>
          <w:rStyle w:val="NormalTok"/>
        </w:rPr>
        <w:t xml:space="preserve">figures</w:t>
      </w:r>
      <w:r>
        <w:rPr>
          <w:rStyle w:val="SpecialCharTok"/>
        </w:rPr>
        <w:t xml:space="preserve">$</w:t>
      </w:r>
      <w:r>
        <w:rPr>
          <w:rStyle w:val="NormalTok"/>
        </w:rPr>
        <w:t xml:space="preserve">supp_fig_6</w:t>
      </w:r>
    </w:p>
    <w:p>
      <w:pPr>
        <w:pStyle w:val="FirstParagraph"/>
      </w:pPr>
      <w:r>
        <w:drawing>
          <wp:inline>
            <wp:extent cx="4620126" cy="3696101"/>
            <wp:effectExtent b="0" l="0" r="0" t="0"/>
            <wp:docPr descr="" title="" id="1" name="Picture"/>
            <a:graphic>
              <a:graphicData uri="http://schemas.openxmlformats.org/drawingml/2006/picture">
                <pic:pic>
                  <pic:nvPicPr>
                    <pic:cNvPr descr="D:\Academic_Work\PhD%20Thesis\Chapter_2\Review%20Round%202\P&amp;N\doc\supp_figures_files/figure-docx/supp_fig_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S6 - Likert plot of attitude responses for each species</w:t>
      </w:r>
    </w:p>
    <w:p>
      <w:pPr>
        <w:pStyle w:val="SourceCode"/>
      </w:pPr>
      <w:r>
        <w:rPr>
          <w:rStyle w:val="NormalTok"/>
        </w:rPr>
        <w:t xml:space="preserve">figures</w:t>
      </w:r>
      <w:r>
        <w:rPr>
          <w:rStyle w:val="SpecialCharTok"/>
        </w:rPr>
        <w:t xml:space="preserve">$</w:t>
      </w:r>
      <w:r>
        <w:rPr>
          <w:rStyle w:val="NormalTok"/>
        </w:rPr>
        <w:t xml:space="preserve">supp_fig_7</w:t>
      </w:r>
    </w:p>
    <w:p>
      <w:pPr>
        <w:pStyle w:val="FirstParagraph"/>
      </w:pPr>
      <w:r>
        <w:drawing>
          <wp:inline>
            <wp:extent cx="4620126" cy="3696101"/>
            <wp:effectExtent b="0" l="0" r="0" t="0"/>
            <wp:docPr descr="" title="" id="1" name="Picture"/>
            <a:graphic>
              <a:graphicData uri="http://schemas.openxmlformats.org/drawingml/2006/picture">
                <pic:pic>
                  <pic:nvPicPr>
                    <pic:cNvPr descr="D:\Academic_Work\PhD%20Thesis\Chapter_2\Review%20Round%202\P&amp;N\doc\supp_figures_files/figure-docx/supp_fig_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S7 - The percentage of respondents recording each taxonomic group</w:t>
      </w:r>
    </w:p>
    <w:p>
      <w:pPr>
        <w:pStyle w:val="SourceCode"/>
      </w:pPr>
      <w:r>
        <w:rPr>
          <w:rStyle w:val="NormalTok"/>
        </w:rPr>
        <w:t xml:space="preserve">figures</w:t>
      </w:r>
      <w:r>
        <w:rPr>
          <w:rStyle w:val="SpecialCharTok"/>
        </w:rPr>
        <w:t xml:space="preserve">$</w:t>
      </w:r>
      <w:r>
        <w:rPr>
          <w:rStyle w:val="NormalTok"/>
        </w:rPr>
        <w:t xml:space="preserve">supp_fig_8</w:t>
      </w:r>
    </w:p>
    <w:p>
      <w:pPr>
        <w:pStyle w:val="FirstParagraph"/>
      </w:pPr>
      <w:r>
        <w:drawing>
          <wp:inline>
            <wp:extent cx="4620126" cy="3696101"/>
            <wp:effectExtent b="0" l="0" r="0" t="0"/>
            <wp:docPr descr="" title="" id="1" name="Picture"/>
            <a:graphic>
              <a:graphicData uri="http://schemas.openxmlformats.org/drawingml/2006/picture">
                <pic:pic>
                  <pic:nvPicPr>
                    <pic:cNvPr descr="D:\Academic_Work\PhD%20Thesis\Chapter_2\Review%20Round%202\P&amp;N\doc\supp_figures_files/figure-docx/supp_fig_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S8 - The posterior predictions for the probability of a respondent being neutral (grey), pro (blue) or anti (red) towards a given management option. Points show the median of the posterior and the error bars 95% credible intervals.</w:t>
      </w:r>
    </w:p>
    <w:p>
      <w:pPr>
        <w:pStyle w:val="SourceCode"/>
      </w:pPr>
      <w:r>
        <w:rPr>
          <w:rStyle w:val="NormalTok"/>
        </w:rPr>
        <w:t xml:space="preserve">figures</w:t>
      </w:r>
      <w:r>
        <w:rPr>
          <w:rStyle w:val="SpecialCharTok"/>
        </w:rPr>
        <w:t xml:space="preserve">$</w:t>
      </w:r>
      <w:r>
        <w:rPr>
          <w:rStyle w:val="NormalTok"/>
        </w:rPr>
        <w:t xml:space="preserve">supp_fig_9</w:t>
      </w:r>
    </w:p>
    <w:p>
      <w:pPr>
        <w:pStyle w:val="FirstParagraph"/>
      </w:pPr>
      <w:r>
        <w:drawing>
          <wp:inline>
            <wp:extent cx="4620126" cy="3696101"/>
            <wp:effectExtent b="0" l="0" r="0" t="0"/>
            <wp:docPr descr="" title="" id="1" name="Picture"/>
            <a:graphic>
              <a:graphicData uri="http://schemas.openxmlformats.org/drawingml/2006/picture">
                <pic:pic>
                  <pic:nvPicPr>
                    <pic:cNvPr descr="D:\Academic_Work\PhD%20Thesis\Chapter_2\Review%20Round%202\P&amp;N\doc\supp_figures_files/figure-docx/supp_fig_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S9 – The posterior predictions for the probability of a respondent being neutral (grey), pro (Blue) or anti (red) towards a given management option (Y-axis facets) depending on their attitude to the species (X-axis facets). The shape and linetype shows the number of responses for each Attitude to Management option. Points show the median of the posterior and the error bars 95% credible intervals.</w:t>
      </w:r>
    </w:p>
    <w:p>
      <w:pPr>
        <w:pStyle w:val="SourceCode"/>
      </w:pPr>
      <w:r>
        <w:rPr>
          <w:rStyle w:val="NormalTok"/>
        </w:rPr>
        <w:t xml:space="preserve">figures</w:t>
      </w:r>
      <w:r>
        <w:rPr>
          <w:rStyle w:val="SpecialCharTok"/>
        </w:rPr>
        <w:t xml:space="preserve">$</w:t>
      </w:r>
      <w:r>
        <w:rPr>
          <w:rStyle w:val="NormalTok"/>
        </w:rPr>
        <w:t xml:space="preserve">supp_fig_10</w:t>
      </w:r>
    </w:p>
    <w:p>
      <w:pPr>
        <w:pStyle w:val="FirstParagraph"/>
      </w:pPr>
      <w:r>
        <w:drawing>
          <wp:inline>
            <wp:extent cx="4620126" cy="3696101"/>
            <wp:effectExtent b="0" l="0" r="0" t="0"/>
            <wp:docPr descr="" title="" id="1" name="Picture"/>
            <a:graphic>
              <a:graphicData uri="http://schemas.openxmlformats.org/drawingml/2006/picture">
                <pic:pic>
                  <pic:nvPicPr>
                    <pic:cNvPr descr="D:\Academic_Work\PhD%20Thesis\Chapter_2\Review%20Round%202\P&amp;N\doc\supp_figures_files/figure-docx/supp_fig_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supp_figures</dc:title>
  <dc:creator>James Cranston</dc:creator>
  <cp:keywords/>
  <dcterms:created xsi:type="dcterms:W3CDTF">2021-07-23T16:02:45Z</dcterms:created>
  <dcterms:modified xsi:type="dcterms:W3CDTF">2021-07-23T16:02:45Z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20/07/2021</vt:lpwstr>
  </property>
  <property fmtid="{D5CDD505-2E9C-101B-9397-08002B2CF9AE}" pid="3" name="output">
    <vt:lpwstr>word_document</vt:lpwstr>
  </property>
  <property fmtid="{D5CDD505-2E9C-101B-9397-08002B2CF9AE}" pid="4" name="params">
    <vt:lpwstr/>
  </property>
</Properties>
</file>