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Quantification of the impact of input data un</w:t>
      </w:r>
      <w:r>
        <w:rPr>
          <w:b/>
          <w:bCs/>
        </w:rPr>
        <w:t>certaint</w:t>
      </w:r>
      <w:r>
        <w:rPr>
          <w:b/>
          <w:bCs/>
        </w:rPr>
        <w:t>y</w:t>
      </w:r>
    </w:p>
    <w:p>
      <w:pPr>
        <w:pStyle w:val="TextBody"/>
        <w:rPr/>
      </w:pPr>
      <w:r>
        <w:rPr/>
        <w:t>T</w:t>
      </w:r>
      <w:r>
        <w:rPr/>
        <w:t xml:space="preserve">he effect that </w:t>
      </w:r>
      <w:r>
        <w:rPr/>
        <w:t>uncertainty</w:t>
      </w:r>
      <w:r>
        <w:rPr/>
        <w:t xml:space="preserve"> </w:t>
      </w:r>
      <w:r>
        <w:rPr/>
        <w:t xml:space="preserve">in the input data </w:t>
      </w:r>
      <w:r>
        <w:rPr/>
        <w:t xml:space="preserve">on </w:t>
      </w:r>
      <w:r>
        <w:rPr/>
        <w:t xml:space="preserve">the across-shelf current was quantified by </w:t>
      </w:r>
      <w:r>
        <w:rPr/>
        <w:t>simulat</w:t>
      </w:r>
      <w:r>
        <w:rPr/>
        <w:t>ing</w:t>
      </w:r>
      <w:r>
        <w:rPr/>
        <w:t xml:space="preserve"> </w:t>
      </w:r>
      <w:r>
        <w:rPr/>
        <w:t xml:space="preserve">error on the input data </w:t>
      </w:r>
      <w:r>
        <w:rPr/>
        <w:t>a</w:t>
      </w:r>
      <w:r>
        <w:rPr/>
        <w:t>t</w:t>
      </w:r>
      <w:r>
        <w:rPr/>
        <w:t xml:space="preserve"> different </w:t>
      </w:r>
      <w:r>
        <w:rPr/>
        <w:t>uncertainty levels and repeating the across-shelf current calculation.</w:t>
      </w:r>
    </w:p>
    <w:p>
      <w:pPr>
        <w:pStyle w:val="TextBody"/>
        <w:rPr/>
      </w:pPr>
      <w:r>
        <w:rPr/>
        <w:t>Uncertainty in the input data was reported as root mean squared error (RMSE). The uncertainty for the WaveWatch III stokes drift component is 0.03 m (Rascle and Ardhuin, 2013; WAVEWATCH III development group, 2016). Reported uncertainty for GlobCurrent reanalysis product was 0.135 m (this describes the combined uncertainty in the Ekman and geostrophic current vector data) (Chapron et al., 2015; Rio et al., 2016). For regions in which Stokes drift is included in the total current calculation, the total expected uncertainty is therefore calculated as</w:t>
      </w:r>
    </w:p>
    <w:p>
      <w:pPr>
        <w:pStyle w:val="TextBody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ϵ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b>
                <m:r>
                  <w:rPr>
                    <w:rFonts w:ascii="Cambria Math" w:hAnsi="Cambria Math"/>
                  </w:rPr>
                  <m:t xml:space="preserve">EG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ϵ</m:t>
                </m:r>
              </m:e>
              <m:sub>
                <m:r>
                  <w:rPr>
                    <w:rFonts w:ascii="Cambria Math" w:hAnsi="Cambria Math"/>
                  </w:rPr>
                  <m:t xml:space="preserve">S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</w:p>
    <w:p>
      <w:pPr>
        <w:pStyle w:val="TextBody"/>
        <w:rPr/>
      </w:pPr>
      <w:r>
        <w:rPr/>
        <w:t xml:space="preserve">where </w:t>
      </w:r>
      <w:r>
        <w:rPr>
          <w:rFonts w:ascii="Liberation Serif" w:hAnsi="Liberation Serif"/>
        </w:rPr>
        <w:t>ε</w:t>
      </w:r>
      <w:r>
        <w:rPr>
          <w:rFonts w:ascii="Liberation Serif" w:hAnsi="Liberation Serif"/>
          <w:vertAlign w:val="subscript"/>
        </w:rPr>
        <w:t>T</w:t>
      </w:r>
      <w:r>
        <w:rPr>
          <w:rFonts w:ascii="Liberation Serif" w:hAnsi="Liberation Serif"/>
        </w:rPr>
        <w:t xml:space="preserve"> is the uncertainty in the total current, ε</w:t>
      </w:r>
      <w:r>
        <w:rPr>
          <w:rFonts w:ascii="Liberation Serif" w:hAnsi="Liberation Serif"/>
          <w:vertAlign w:val="subscript"/>
        </w:rPr>
        <w:t>EG</w:t>
      </w:r>
      <w:r>
        <w:rPr>
          <w:rFonts w:ascii="Liberation Serif" w:hAnsi="Liberation Serif"/>
        </w:rPr>
        <w:t xml:space="preserve"> is the combined </w:t>
      </w:r>
      <w:r>
        <w:rPr>
          <w:rFonts w:ascii="Liberation Serif" w:hAnsi="Liberation Serif"/>
        </w:rPr>
        <w:t xml:space="preserve">uncertainty </w:t>
      </w:r>
      <w:r>
        <w:rPr>
          <w:rFonts w:ascii="Liberation Serif" w:hAnsi="Liberation Serif"/>
        </w:rPr>
        <w:t>(RMSE)</w:t>
      </w:r>
      <w:r>
        <w:rPr>
          <w:rFonts w:ascii="Liberation Serif" w:hAnsi="Liberation Serif"/>
        </w:rPr>
        <w:t xml:space="preserve"> associated with the combined Ekman and geostrophic current input data and ε</w:t>
      </w:r>
      <w:r>
        <w:rPr>
          <w:rFonts w:ascii="Liberation Serif" w:hAnsi="Liberation Serif"/>
          <w:vertAlign w:val="subscript"/>
        </w:rPr>
        <w:t>S</w:t>
      </w:r>
      <w:r>
        <w:rPr>
          <w:rFonts w:ascii="Liberation Serif" w:hAnsi="Liberation Serif"/>
        </w:rPr>
        <w:t xml:space="preserve"> is the </w:t>
      </w:r>
      <w:r>
        <w:rPr>
          <w:rFonts w:ascii="Liberation Serif" w:hAnsi="Liberation Serif"/>
        </w:rPr>
        <w:t xml:space="preserve">uncertainty </w:t>
      </w:r>
      <w:r>
        <w:rPr>
          <w:rFonts w:ascii="Liberation Serif" w:hAnsi="Liberation Serif"/>
        </w:rPr>
        <w:t>(RMSE)</w:t>
      </w:r>
      <w:r>
        <w:rPr>
          <w:rFonts w:ascii="Liberation Serif" w:hAnsi="Liberation Serif"/>
        </w:rPr>
        <w:t xml:space="preserve"> associated with the Stokes drift input data. </w:t>
      </w:r>
      <w:r>
        <w:rPr>
          <w:rFonts w:ascii="Liberation Serif" w:hAnsi="Liberation Serif"/>
        </w:rPr>
        <w:t xml:space="preserve">For regions which did not include a Stokes drift component (e.g. where wind stress was high or significant wave height low), an RMSE of 0.135 </w:t>
      </w:r>
      <w:r>
        <w:rPr>
          <w:rFonts w:ascii="Liberation Serif" w:hAnsi="Liberation Serif"/>
        </w:rPr>
        <w:t xml:space="preserve">m </w:t>
      </w:r>
      <w:r>
        <w:rPr>
          <w:rFonts w:ascii="Liberation Serif" w:hAnsi="Liberation Serif"/>
        </w:rPr>
        <w:t>was used.</w:t>
      </w:r>
    </w:p>
    <w:p>
      <w:pPr>
        <w:pStyle w:val="TextBody"/>
        <w:rPr/>
      </w:pPr>
      <w:r>
        <w:rPr/>
        <w:t xml:space="preserve">The effect of uncertainty was assessed at 21 levels by simulating error in the total current. Uncertainty levels were selected to be equally spaced intervals between 0% and 200% of the total expected uncertainty. The simulated error was added to the total current vectors (i.e. independently to the North-South and East-West components) prior to calculating the adjusted Ekman transport vector (due to the Coriolis force) but before the calculating across-shelf current and regional statistics. 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w</w:t>
      </w:r>
      <w:r>
        <w:rPr>
          <w:b w:val="false"/>
          <w:bCs w:val="false"/>
        </w:rPr>
        <w:t>ere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modelled </w:t>
      </w:r>
      <w:r>
        <w:rPr>
          <w:b w:val="false"/>
          <w:bCs w:val="false"/>
        </w:rPr>
        <w:t xml:space="preserve">using </w:t>
      </w:r>
      <w:r>
        <w:rPr>
          <w:b w:val="false"/>
          <w:bCs w:val="false"/>
        </w:rPr>
        <w:t xml:space="preserve">a normal distribution centred </w:t>
      </w:r>
      <w:r>
        <w:rPr>
          <w:b w:val="false"/>
          <w:bCs w:val="false"/>
        </w:rPr>
        <w:t>at</w:t>
      </w:r>
      <w:r>
        <w:rPr>
          <w:b w:val="false"/>
          <w:bCs w:val="false"/>
        </w:rPr>
        <w:t xml:space="preserve"> zero with a standard deviation equal to the uncertainty level (roo</w:t>
      </w:r>
      <w:r>
        <w:rPr>
          <w:b w:val="false"/>
          <w:bCs w:val="false"/>
        </w:rPr>
        <w:t>t</w:t>
      </w:r>
      <w:r>
        <w:rPr>
          <w:b w:val="false"/>
          <w:bCs w:val="false"/>
        </w:rPr>
        <w:t xml:space="preserve"> mean squared error). </w:t>
      </w:r>
      <w:r>
        <w:rPr>
          <w:b w:val="false"/>
          <w:bCs w:val="false"/>
        </w:rPr>
        <w:t xml:space="preserve">It </w:t>
      </w:r>
      <w:r>
        <w:rPr>
          <w:b w:val="false"/>
          <w:bCs w:val="false"/>
        </w:rPr>
        <w:t>is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assum</w:t>
      </w:r>
      <w:r>
        <w:rPr>
          <w:b w:val="false"/>
          <w:bCs w:val="false"/>
        </w:rPr>
        <w:t>ed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that there </w:t>
      </w:r>
      <w:r>
        <w:rPr>
          <w:b w:val="false"/>
          <w:bCs w:val="false"/>
        </w:rPr>
        <w:t xml:space="preserve">are </w:t>
      </w:r>
      <w:r>
        <w:rPr>
          <w:b w:val="false"/>
          <w:bCs w:val="false"/>
        </w:rPr>
        <w:t xml:space="preserve">no spatial or temporal correlation </w:t>
      </w:r>
      <w:r>
        <w:rPr>
          <w:b w:val="false"/>
          <w:bCs w:val="false"/>
        </w:rPr>
        <w:t>in uncertainties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This procedure was repeated </w:t>
      </w:r>
      <w:r>
        <w:rPr>
          <w:b w:val="false"/>
          <w:bCs w:val="false"/>
        </w:rPr>
        <w:t xml:space="preserve">2000 </w:t>
      </w:r>
      <w:r>
        <w:rPr>
          <w:b w:val="false"/>
          <w:bCs w:val="false"/>
        </w:rPr>
        <w:t xml:space="preserve">times </w:t>
      </w:r>
      <w:r>
        <w:rPr>
          <w:b w:val="false"/>
          <w:bCs w:val="false"/>
        </w:rPr>
        <w:t xml:space="preserve">at each uncertainty level </w:t>
      </w:r>
      <w:r>
        <w:rPr>
          <w:b w:val="false"/>
          <w:bCs w:val="false"/>
          <w:highlight w:val="yellow"/>
        </w:rPr>
        <w:t>to/</w:t>
      </w:r>
      <w:r>
        <w:rPr>
          <w:b w:val="false"/>
          <w:bCs w:val="false"/>
          <w:highlight w:val="yellow"/>
        </w:rPr>
        <w:t xml:space="preserve">which resulted in clear convergence. </w:t>
      </w:r>
    </w:p>
    <w:p>
      <w:pPr>
        <w:pStyle w:val="TextBody"/>
        <w:rPr/>
      </w:pPr>
      <w:r>
        <w:rPr>
          <w:b w:val="false"/>
          <w:bCs w:val="false"/>
        </w:rPr>
        <w:t xml:space="preserve">Regional calculations were performed for </w:t>
      </w:r>
      <w:r>
        <w:rPr>
          <w:b w:val="false"/>
          <w:bCs w:val="false"/>
        </w:rPr>
        <w:t xml:space="preserve">each of </w:t>
      </w:r>
      <w:r>
        <w:rPr>
          <w:b w:val="false"/>
          <w:bCs w:val="false"/>
        </w:rPr>
        <w:t xml:space="preserve">the shelf sea regions identified by </w:t>
      </w:r>
      <w:r>
        <w:rPr>
          <w:b w:val="false"/>
          <w:bCs w:val="false"/>
          <w:position w:val="0"/>
          <w:sz w:val="24"/>
          <w:vertAlign w:val="baseline"/>
        </w:rPr>
        <w:t>Laruelle et al. (2018)</w:t>
      </w:r>
      <w:r>
        <w:rPr>
          <w:b w:val="false"/>
          <w:bCs w:val="false"/>
        </w:rPr>
        <w:t xml:space="preserve">⁠ </w:t>
      </w:r>
      <w:r>
        <w:rPr>
          <w:b w:val="false"/>
          <w:bCs w:val="false"/>
        </w:rPr>
        <w:t>and the mean and standard deviation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of </w:t>
      </w:r>
      <w:r>
        <w:rPr>
          <w:b w:val="false"/>
          <w:bCs w:val="false"/>
        </w:rPr>
        <w:t xml:space="preserve">total across-shelf current 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ere</w:t>
      </w:r>
      <w:r>
        <w:rPr>
          <w:b w:val="false"/>
          <w:bCs w:val="false"/>
        </w:rPr>
        <w:t xml:space="preserve"> calculated </w:t>
      </w:r>
      <w:r>
        <w:rPr>
          <w:b w:val="false"/>
          <w:bCs w:val="false"/>
        </w:rPr>
        <w:t>using the methodology described in the main text. These are shown in Table S1: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Expected SKIM error ~ 0.04 m???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Table S1:</w:t>
            </w:r>
          </w:p>
        </w:tc>
      </w:tr>
    </w:tbl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 w:val="false"/>
          <w:bCs w:val="false"/>
        </w:rPr>
        <w:t>F</w:t>
      </w:r>
      <w:r>
        <w:rPr>
          <w:b w:val="false"/>
          <w:bCs w:val="false"/>
        </w:rPr>
        <w:t>igure S1: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**</w:t>
      </w:r>
      <w:r>
        <w:rPr>
          <w:b w:val="false"/>
          <w:bCs w:val="false"/>
        </w:rPr>
        <w:t>Build Table 1: error level, regions, mean (sd)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pacing w:lineRule="auto" w:line="480" w:before="100" w:after="0"/>
        <w:ind w:left="480" w:right="0" w:hanging="480"/>
        <w:rPr>
          <w:b/>
          <w:b/>
          <w:bCs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lang w:val="en-US"/>
        </w:rPr>
        <w:t xml:space="preserve">Chapron, B., Johannessen, J. A., Donlon, C., (2015) GlobCurren Analysis and Interpretation Framework, Version 0.5, Technical note, 36 pp, </w:t>
      </w:r>
      <w:hyperlink r:id="rId2">
        <w:r>
          <w:rPr>
            <w:rStyle w:val="InternetLink"/>
            <w:b/>
            <w:bCs/>
          </w:rPr>
          <w:t>http://www.globcurrent.nersc.no</w:t>
        </w:r>
      </w:hyperlink>
    </w:p>
    <w:p>
      <w:pPr>
        <w:pStyle w:val="Normal"/>
        <w:widowControl w:val="false"/>
        <w:spacing w:lineRule="auto" w:line="480" w:before="100" w:after="0"/>
        <w:ind w:left="426" w:right="0" w:hanging="426"/>
        <w:rPr>
          <w:b/>
          <w:b/>
          <w:bCs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0"/>
          <w:szCs w:val="20"/>
          <w:lang w:val="en-US"/>
        </w:rPr>
        <w:t xml:space="preserve">Rascle, N., Ardhuin, F., (2013) A global wave parameter database for geophysical applications. Part 2: model validation with improved source term parameterization, </w:t>
      </w:r>
      <w:r>
        <w:rPr>
          <w:rFonts w:eastAsia="Times New Roman" w:cs="Arial" w:ascii="Arial" w:hAnsi="Arial"/>
          <w:b w:val="false"/>
          <w:bCs w:val="false"/>
          <w:i/>
          <w:color w:val="000000"/>
          <w:sz w:val="20"/>
          <w:szCs w:val="20"/>
          <w:lang w:val="en-US"/>
        </w:rPr>
        <w:t>Ocean Model.</w:t>
      </w:r>
      <w:r>
        <w:rPr>
          <w:rFonts w:eastAsia="Times New Roman" w:cs="Arial" w:ascii="Arial" w:hAnsi="Arial"/>
          <w:b w:val="false"/>
          <w:bCs w:val="false"/>
          <w:color w:val="000000"/>
          <w:sz w:val="20"/>
          <w:szCs w:val="20"/>
          <w:lang w:val="en-US"/>
        </w:rPr>
        <w:t>, 70, pp. 145-151, 10.1016/j.ocemod.2012.09.001</w:t>
      </w:r>
    </w:p>
    <w:p>
      <w:pPr>
        <w:pStyle w:val="Normal"/>
        <w:widowControl w:val="false"/>
        <w:spacing w:lineRule="auto" w:line="480" w:before="0" w:after="240"/>
        <w:ind w:left="426" w:right="0" w:hanging="426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lang w:val="en-US"/>
        </w:rPr>
        <w:t xml:space="preserve">Rio, M.-H., Johannessen, J., &amp; Donlan, C. (2016). Product data handbook: The combined geostropy+ekman currents (Technical Report). Globcurrent. </w:t>
      </w:r>
    </w:p>
    <w:p>
      <w:pPr>
        <w:pStyle w:val="Normal"/>
        <w:widowControl w:val="false"/>
        <w:spacing w:lineRule="auto" w:line="480" w:before="0" w:after="240"/>
        <w:ind w:left="426" w:right="0" w:hanging="426"/>
        <w:rPr>
          <w:rFonts w:ascii="Arial" w:hAnsi="Arial" w:eastAsia="Times New Roman" w:cs="Arial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0"/>
          <w:szCs w:val="20"/>
          <w:lang w:val="en-US"/>
        </w:rPr>
        <w:t>WAVEWATCH III development group (2016) User manual and system documentation of WAVEWATCH III version 5.16, Technical Note 329, NOAA/NWS/NCEP/MMAB, College Park, Md, 326 pp.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lobcurrent.nersc.no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1608</TotalTime>
  <Application>LibreOffice/5.1.6.2$Linux_X86_64 LibreOffice_project/10m0$Build-2</Application>
  <Pages>2</Pages>
  <Words>468</Words>
  <Characters>2670</Characters>
  <CharactersWithSpaces>3125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2019-06-04T12:06:36Z</dcterms:created>
  <dc:creator/>
  <dc:description/>
  <dc:language>en-GB</dc:language>
  <cp:lastModifiedBy/>
  <dcterms:modified xsi:type="dcterms:W3CDTF">2019-06-12T10:29:27Z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68559439-da6b-3b61-8f13-00bec47b4161</vt:lpwstr>
  </property>
</Properties>
</file>