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200"/>
        <w:jc w:val="center"/>
      </w:pPr>
      <w:r>
        <w:rPr>
          <w:rFonts w:ascii="Calibri" w:cs="Calibri" w:eastAsia="Calibri" w:hAnsi="Calibri"/>
          <w:b/>
          <w:bCs/>
          <w:color w:val="1F3B57"/>
          <w:sz w:val="56"/>
          <w:szCs w:val="56"/>
        </w:rPr>
        <w:t xml:space="preserve">CUSTOMER CHURN ANALYSIS</w:t>
      </w:r>
    </w:p>
    <w:p>
      <w:pPr>
        <w:spacing w:after="300"/>
        <w:jc w:val="center"/>
      </w:pPr>
      <w:r>
        <w:rPr>
          <w:rFonts w:ascii="Calibri" w:cs="Calibri" w:eastAsia="Calibri" w:hAnsi="Calibri"/>
          <w:color w:val="E8762C"/>
          <w:sz w:val="28"/>
          <w:szCs w:val="28"/>
        </w:rPr>
        <w:t xml:space="preserve">Predictive Modeling and Retention Strategy for a 1,000,000-Customer Telecom Base</w:t>
      </w:r>
    </w:p>
    <w:p>
      <w:pPr>
        <w:spacing w:after="120"/>
        <w:jc w:val="center"/>
      </w:pPr>
      <w:r>
        <w:rPr>
          <w:rFonts w:ascii="Calibri" w:cs="Calibri" w:eastAsia="Calibri" w:hAnsi="Calibri"/>
          <w:color w:val="667085"/>
          <w:sz w:val="24"/>
          <w:szCs w:val="24"/>
        </w:rPr>
        <w:t xml:space="preserve">Business &amp; Technical Report</w:t>
      </w:r>
    </w:p>
    <w:p>
      <w:pPr>
        <w:jc w:val="center"/>
      </w:pPr>
      <w:r>
        <w:rPr>
          <w:rFonts w:ascii="Calibri" w:cs="Calibri" w:eastAsia="Calibri" w:hAnsi="Calibri"/>
          <w:color w:val="667085"/>
          <w:sz w:val="24"/>
          <w:szCs w:val="24"/>
        </w:rPr>
        <w:t xml:space="preserve">July 19, 2026</w:t>
      </w:r>
    </w:p>
    <w:p>
      <w:pPr>
        <w:spacing w:before="200"/>
        <w:jc w:val="center"/>
      </w:pPr>
      <w:r>
        <w:rPr>
          <w:rFonts w:ascii="Calibri" w:cs="Calibri" w:eastAsia="Calibri" w:hAnsi="Calibri"/>
          <w:color w:val="667085"/>
          <w:sz w:val="20"/>
          <w:szCs w:val="20"/>
        </w:rPr>
        <w:t xml:space="preserve">Source: customer_churn_1M.csv (1,000,000 rows × 32 columns) · customer_churn_prediction_1.ipynb</w:t>
      </w:r>
    </w:p>
    <w:p>
      <w:r>
        <w:br w:type="page"/>
      </w:r>
    </w:p>
    <w:p>
      <w:pPr>
        <w:pStyle w:val="Heading1"/>
        <w:spacing w:after="160" w:before="320"/>
      </w:pPr>
      <w:r>
        <w:rPr>
          <w:b/>
          <w:bCs/>
          <w:color w:val="1F3B57"/>
        </w:rPr>
        <w:t xml:space="preserve">1. Executive Summary</w:t>
      </w:r>
    </w:p>
    <w:p>
      <w:pPr>
        <w:spacing w:after="160" w:line="276"/>
        <w:jc w:val="both"/>
      </w:pPr>
      <w:r>
        <w:rPr>
          <w:rFonts w:ascii="Calibri" w:cs="Calibri" w:eastAsia="Calibri" w:hAnsi="Calibri"/>
          <w:sz w:val="22"/>
          <w:szCs w:val="22"/>
        </w:rPr>
        <w:t xml:space="preserve">This report presents a full-cycle churn analysis of 1,000,000 telecom customers, of whom 9.92% (99,227) churned. The work covered data quality auditing, missing-value analysis, exploratory statistics, and the training and comparison of four machine-learning models, culminating in a risk-scoring framework and a costed retention business case.</w:t>
      </w:r>
    </w:p>
    <w:p>
      <w:pPr>
        <w:spacing w:after="160" w:line="276"/>
        <w:jc w:val="both"/>
      </w:pPr>
      <w:r>
        <w:rPr>
          <w:rFonts w:ascii="Calibri" w:cs="Calibri" w:eastAsia="Calibri" w:hAnsi="Calibri"/>
          <w:b/>
          <w:bCs/>
          <w:sz w:val="22"/>
          <w:szCs w:val="22"/>
        </w:rPr>
        <w:t xml:space="preserve">Contract type is the dominant churn driver. </w:t>
      </w:r>
      <w:r>
        <w:rPr>
          <w:rFonts w:ascii="Calibri" w:cs="Calibri" w:eastAsia="Calibri" w:hAnsi="Calibri"/>
          <w:sz w:val="22"/>
          <w:szCs w:val="22"/>
        </w:rPr>
        <w:t xml:space="preserve">Month-to-month customers churn at 26.5% — more than double the one-year rate (12.7%) and nearly five times the two-year rate (5.7%). Behavioral signals of dissatisfaction — lower satisfaction scores, more complaints, more service calls, and more late payments — are the strongest individual-level predictors.</w:t>
      </w:r>
    </w:p>
    <w:p>
      <w:pPr>
        <w:spacing w:after="160" w:line="276"/>
        <w:jc w:val="both"/>
      </w:pPr>
      <w:r>
        <w:rPr>
          <w:rFonts w:ascii="Calibri" w:cs="Calibri" w:eastAsia="Calibri" w:hAnsi="Calibri"/>
          <w:b/>
          <w:bCs/>
          <w:sz w:val="22"/>
          <w:szCs w:val="22"/>
        </w:rPr>
        <w:t xml:space="preserve">The best model, LightGBM, delivers a 2.5x lift. </w:t>
      </w:r>
      <w:r>
        <w:rPr>
          <w:rFonts w:ascii="Calibri" w:cs="Calibri" w:eastAsia="Calibri" w:hAnsi="Calibri"/>
          <w:sz w:val="22"/>
          <w:szCs w:val="22"/>
        </w:rPr>
        <w:t xml:space="preserve">Customers in the top-scoring risk decile churn at 24.6% versus the 9.9% baseline, and the top 20% of customers by score contain roughly 40% of all churners. Model discrimination overall is moderate (ROC-AUC 0.685, PR-AUC 0.205 against a 0.099 baseline), which is sufficient for targeting but leaves headroom for improvement.</w:t>
      </w:r>
    </w:p>
    <w:p>
      <w:pPr>
        <w:spacing w:after="160" w:line="276"/>
        <w:jc w:val="both"/>
      </w:pPr>
      <w:r>
        <w:rPr>
          <w:rFonts w:ascii="Calibri" w:cs="Calibri" w:eastAsia="Calibri" w:hAnsi="Calibri"/>
          <w:b/>
          <w:bCs/>
          <w:sz w:val="22"/>
          <w:szCs w:val="22"/>
        </w:rPr>
        <w:t xml:space="preserve">The retention economics are attractive. </w:t>
      </w:r>
      <w:r>
        <w:rPr>
          <w:rFonts w:ascii="Calibri" w:cs="Calibri" w:eastAsia="Calibri" w:hAnsi="Calibri"/>
          <w:sz w:val="22"/>
          <w:szCs w:val="22"/>
        </w:rPr>
        <w:t xml:space="preserve">Targeting the top 20% highest-risk customers with a $50 retention offer, and assuming 30% of contacted would-be churners are saved, yields an estimated $2.99M net savings per scoring cycle on the 200,000-customer test set — a 150% return on the $2.0M offer cost. Scaled to the full 1M-customer base on a monthly cadence, projected annual savings are on the order of $36M, subject to A/B validation of the 30% save-rate assumption.</w:t>
      </w:r>
    </w:p>
    <w:p>
      <w:pPr>
        <w:spacing w:after="160" w:line="276"/>
        <w:jc w:val="both"/>
      </w:pPr>
      <w:r>
        <w:rPr>
          <w:rFonts w:ascii="Calibri" w:cs="Calibri" w:eastAsia="Calibri" w:hAnsi="Calibri"/>
          <w:sz w:val="22"/>
          <w:szCs w:val="22"/>
        </w:rPr>
        <w:t xml:space="preserve">Recommended immediate actions: launch contract-conversion incentives for month-to-month customers, trigger proactive outreach after a second complaint or third service call, and operationalize weekly model scoring with an A/B-tested retention workflow for the top risk segment.</w:t>
      </w:r>
    </w:p>
    <w:p>
      <w:pPr>
        <w:pStyle w:val="Heading1"/>
        <w:spacing w:after="160" w:before="320"/>
      </w:pPr>
      <w:r>
        <w:rPr>
          <w:b/>
          <w:bCs/>
          <w:color w:val="1F3B57"/>
        </w:rPr>
        <w:t xml:space="preserve">2. Data Overview and Quality Audit</w:t>
      </w:r>
    </w:p>
    <w:p>
      <w:pPr>
        <w:pStyle w:val="Heading2"/>
        <w:spacing w:after="120" w:before="240"/>
      </w:pPr>
      <w:r>
        <w:rPr>
          <w:b/>
          <w:bCs/>
          <w:color w:val="1F3B57"/>
        </w:rPr>
        <w:t xml:space="preserve">2.1 Dataset</w:t>
      </w:r>
    </w:p>
    <w:p>
      <w:pPr>
        <w:spacing w:after="160" w:line="276"/>
        <w:jc w:val="both"/>
      </w:pPr>
      <w:r>
        <w:rPr>
          <w:rFonts w:ascii="Calibri" w:cs="Calibri" w:eastAsia="Calibri" w:hAnsi="Calibri"/>
          <w:sz w:val="22"/>
          <w:szCs w:val="22"/>
        </w:rPr>
        <w:t xml:space="preserve">The dataset contains 1,000,000 customer records with 32 attributes spanning demographics (age, gender, income, education, marital status, dependents, senior-citizen flag), account characteristics (signup date, tenure, contract type, payment method, paperless billing), service subscriptions (phone, internet, security, backup, device protection, tech support, streaming), billing (monthly and total charges), and behavioral indicators (satisfaction score, complaints, service calls, late payments, average monthly data usage, days since last interaction, credit score). The binary target, churn, has a 9.92% positive rate — a roughly 9:1 class imbalance that shaped every downstream modeling decision.</w:t>
      </w:r>
    </w:p>
    <w:p>
      <w:pPr>
        <w:pStyle w:val="Heading2"/>
        <w:spacing w:after="120" w:before="240"/>
      </w:pPr>
      <w:r>
        <w:rPr>
          <w:b/>
          <w:bCs/>
          <w:color w:val="1F3B57"/>
        </w:rPr>
        <w:t xml:space="preserve">2.2 Integrity checks</w:t>
      </w:r>
    </w:p>
    <w:p>
      <w:pPr>
        <w:spacing w:after="160" w:line="276"/>
        <w:jc w:val="both"/>
      </w:pPr>
      <w:r>
        <w:rPr>
          <w:rFonts w:ascii="Calibri" w:cs="Calibri" w:eastAsia="Calibri" w:hAnsi="Calibri"/>
          <w:sz w:val="22"/>
          <w:szCs w:val="22"/>
        </w:rPr>
        <w:t xml:space="preserve">The audit confirmed no duplicate or null customer IDs, no out-of-range values in the numeric fields, and no unexpected categories in any categorical column. Five columns contain missing values:</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3200"/>
        <w:gridCol w:w="2600"/>
        <w:gridCol w:w="2600"/>
      </w:tblGrid>
      <w:tr>
        <w:trPr>
          <w:tblHeader/>
        </w:trPr>
        <w:tc>
          <w:tcPr>
            <w:tcW w:type="dxa" w:w="3200"/>
            <w:shd w:fill="1F3B57" w:val="clear"/>
            <w:tcMar>
              <w:top w:type="dxa" w:w="60"/>
              <w:left w:type="dxa" w:w="100"/>
              <w:bottom w:type="dxa" w:w="60"/>
              <w:right w:type="dxa" w:w="100"/>
            </w:tcMar>
          </w:tcPr>
          <w:p>
            <w:pPr>
              <w:jc w:val="left"/>
            </w:pPr>
            <w:r>
              <w:rPr>
                <w:rFonts w:ascii="Calibri" w:cs="Calibri" w:eastAsia="Calibri" w:hAnsi="Calibri"/>
                <w:b/>
                <w:bCs/>
                <w:color w:val="FFFFFF"/>
                <w:sz w:val="20"/>
                <w:szCs w:val="20"/>
              </w:rPr>
              <w:t xml:space="preserve">Column</w:t>
            </w:r>
          </w:p>
        </w:tc>
        <w:tc>
          <w:tcPr>
            <w:tcW w:type="dxa" w:w="2600"/>
            <w:shd w:fill="1F3B57" w:val="clear"/>
            <w:tcMar>
              <w:top w:type="dxa" w:w="60"/>
              <w:left w:type="dxa" w:w="100"/>
              <w:bottom w:type="dxa" w:w="60"/>
              <w:right w:type="dxa" w:w="100"/>
            </w:tcMar>
          </w:tcPr>
          <w:p>
            <w:pPr>
              <w:jc w:val="center"/>
            </w:pPr>
            <w:r>
              <w:rPr>
                <w:rFonts w:ascii="Calibri" w:cs="Calibri" w:eastAsia="Calibri" w:hAnsi="Calibri"/>
                <w:b/>
                <w:bCs/>
                <w:color w:val="FFFFFF"/>
                <w:sz w:val="20"/>
                <w:szCs w:val="20"/>
              </w:rPr>
              <w:t xml:space="preserve">Missing count</w:t>
            </w:r>
          </w:p>
        </w:tc>
        <w:tc>
          <w:tcPr>
            <w:tcW w:type="dxa" w:w="2600"/>
            <w:shd w:fill="1F3B57" w:val="clear"/>
            <w:tcMar>
              <w:top w:type="dxa" w:w="60"/>
              <w:left w:type="dxa" w:w="100"/>
              <w:bottom w:type="dxa" w:w="60"/>
              <w:right w:type="dxa" w:w="100"/>
            </w:tcMar>
          </w:tcPr>
          <w:p>
            <w:pPr>
              <w:jc w:val="center"/>
            </w:pPr>
            <w:r>
              <w:rPr>
                <w:rFonts w:ascii="Calibri" w:cs="Calibri" w:eastAsia="Calibri" w:hAnsi="Calibri"/>
                <w:b/>
                <w:bCs/>
                <w:color w:val="FFFFFF"/>
                <w:sz w:val="20"/>
                <w:szCs w:val="20"/>
              </w:rPr>
              <w:t xml:space="preserve">Missing %</w:t>
            </w:r>
          </w:p>
        </w:tc>
      </w:tr>
      <w:tr>
        <w:tc>
          <w:tcPr>
            <w:tcW w:type="dxa" w:w="3200"/>
            <w:tcMar>
              <w:top w:type="dxa" w:w="50"/>
              <w:left w:type="dxa" w:w="100"/>
              <w:bottom w:type="dxa" w:w="50"/>
              <w:right w:type="dxa" w:w="100"/>
            </w:tcMar>
          </w:tcPr>
          <w:p>
            <w:pPr>
              <w:jc w:val="left"/>
            </w:pPr>
            <w:r>
              <w:rPr>
                <w:rFonts w:ascii="Calibri" w:cs="Calibri" w:eastAsia="Calibri" w:hAnsi="Calibri"/>
                <w:color w:val="222222"/>
                <w:sz w:val="20"/>
                <w:szCs w:val="20"/>
              </w:rPr>
              <w:t xml:space="preserve">avg_monthly_gb</w:t>
            </w:r>
          </w:p>
        </w:tc>
        <w:tc>
          <w:tcPr>
            <w:tcW w:type="dxa" w:w="2600"/>
            <w:tcMar>
              <w:top w:type="dxa" w:w="50"/>
              <w:left w:type="dxa" w:w="100"/>
              <w:bottom w:type="dxa" w:w="50"/>
              <w:right w:type="dxa" w:w="100"/>
            </w:tcMar>
          </w:tcPr>
          <w:p>
            <w:pPr>
              <w:jc w:val="center"/>
            </w:pPr>
            <w:r>
              <w:rPr>
                <w:rFonts w:ascii="Calibri" w:cs="Calibri" w:eastAsia="Calibri" w:hAnsi="Calibri"/>
                <w:color w:val="222222"/>
                <w:sz w:val="20"/>
                <w:szCs w:val="20"/>
              </w:rPr>
              <w:t xml:space="preserve">50,012</w:t>
            </w:r>
          </w:p>
        </w:tc>
        <w:tc>
          <w:tcPr>
            <w:tcW w:type="dxa" w:w="2600"/>
            <w:tcMar>
              <w:top w:type="dxa" w:w="50"/>
              <w:left w:type="dxa" w:w="100"/>
              <w:bottom w:type="dxa" w:w="50"/>
              <w:right w:type="dxa" w:w="100"/>
            </w:tcMar>
          </w:tcPr>
          <w:p>
            <w:pPr>
              <w:jc w:val="center"/>
            </w:pPr>
            <w:r>
              <w:rPr>
                <w:rFonts w:ascii="Calibri" w:cs="Calibri" w:eastAsia="Calibri" w:hAnsi="Calibri"/>
                <w:color w:val="222222"/>
                <w:sz w:val="20"/>
                <w:szCs w:val="20"/>
              </w:rPr>
              <w:t xml:space="preserve">5.00%</w:t>
            </w:r>
          </w:p>
        </w:tc>
      </w:tr>
      <w:tr>
        <w:tc>
          <w:tcPr>
            <w:tcW w:type="dxa" w:w="3200"/>
            <w:shd w:fill="F2F5F8" w:val="clear"/>
            <w:tcMar>
              <w:top w:type="dxa" w:w="50"/>
              <w:left w:type="dxa" w:w="100"/>
              <w:bottom w:type="dxa" w:w="50"/>
              <w:right w:type="dxa" w:w="100"/>
            </w:tcMar>
          </w:tcPr>
          <w:p>
            <w:pPr>
              <w:jc w:val="left"/>
            </w:pPr>
            <w:r>
              <w:rPr>
                <w:rFonts w:ascii="Calibri" w:cs="Calibri" w:eastAsia="Calibri" w:hAnsi="Calibri"/>
                <w:color w:val="222222"/>
                <w:sz w:val="20"/>
                <w:szCs w:val="20"/>
              </w:rPr>
              <w:t xml:space="preserve">credit_score</w:t>
            </w:r>
          </w:p>
        </w:tc>
        <w:tc>
          <w:tcPr>
            <w:tcW w:type="dxa" w:w="2600"/>
            <w:shd w:fill="F2F5F8" w:val="clear"/>
            <w:tcMar>
              <w:top w:type="dxa" w:w="50"/>
              <w:left w:type="dxa" w:w="100"/>
              <w:bottom w:type="dxa" w:w="50"/>
              <w:right w:type="dxa" w:w="100"/>
            </w:tcMar>
          </w:tcPr>
          <w:p>
            <w:pPr>
              <w:jc w:val="center"/>
            </w:pPr>
            <w:r>
              <w:rPr>
                <w:rFonts w:ascii="Calibri" w:cs="Calibri" w:eastAsia="Calibri" w:hAnsi="Calibri"/>
                <w:color w:val="222222"/>
                <w:sz w:val="20"/>
                <w:szCs w:val="20"/>
              </w:rPr>
              <w:t xml:space="preserve">40,395</w:t>
            </w:r>
          </w:p>
        </w:tc>
        <w:tc>
          <w:tcPr>
            <w:tcW w:type="dxa" w:w="2600"/>
            <w:shd w:fill="F2F5F8" w:val="clear"/>
            <w:tcMar>
              <w:top w:type="dxa" w:w="50"/>
              <w:left w:type="dxa" w:w="100"/>
              <w:bottom w:type="dxa" w:w="50"/>
              <w:right w:type="dxa" w:w="100"/>
            </w:tcMar>
          </w:tcPr>
          <w:p>
            <w:pPr>
              <w:jc w:val="center"/>
            </w:pPr>
            <w:r>
              <w:rPr>
                <w:rFonts w:ascii="Calibri" w:cs="Calibri" w:eastAsia="Calibri" w:hAnsi="Calibri"/>
                <w:color w:val="222222"/>
                <w:sz w:val="20"/>
                <w:szCs w:val="20"/>
              </w:rPr>
              <w:t xml:space="preserve">4.04%</w:t>
            </w:r>
          </w:p>
        </w:tc>
      </w:tr>
      <w:tr>
        <w:tc>
          <w:tcPr>
            <w:tcW w:type="dxa" w:w="3200"/>
            <w:tcMar>
              <w:top w:type="dxa" w:w="50"/>
              <w:left w:type="dxa" w:w="100"/>
              <w:bottom w:type="dxa" w:w="50"/>
              <w:right w:type="dxa" w:w="100"/>
            </w:tcMar>
          </w:tcPr>
          <w:p>
            <w:pPr>
              <w:jc w:val="left"/>
            </w:pPr>
            <w:r>
              <w:rPr>
                <w:rFonts w:ascii="Calibri" w:cs="Calibri" w:eastAsia="Calibri" w:hAnsi="Calibri"/>
                <w:color w:val="222222"/>
                <w:sz w:val="20"/>
                <w:szCs w:val="20"/>
              </w:rPr>
              <w:t xml:space="preserve">annual_income</w:t>
            </w:r>
          </w:p>
        </w:tc>
        <w:tc>
          <w:tcPr>
            <w:tcW w:type="dxa" w:w="2600"/>
            <w:tcMar>
              <w:top w:type="dxa" w:w="50"/>
              <w:left w:type="dxa" w:w="100"/>
              <w:bottom w:type="dxa" w:w="50"/>
              <w:right w:type="dxa" w:w="100"/>
            </w:tcMar>
          </w:tcPr>
          <w:p>
            <w:pPr>
              <w:jc w:val="center"/>
            </w:pPr>
            <w:r>
              <w:rPr>
                <w:rFonts w:ascii="Calibri" w:cs="Calibri" w:eastAsia="Calibri" w:hAnsi="Calibri"/>
                <w:color w:val="222222"/>
                <w:sz w:val="20"/>
                <w:szCs w:val="20"/>
              </w:rPr>
              <w:t xml:space="preserve">29,959</w:t>
            </w:r>
          </w:p>
        </w:tc>
        <w:tc>
          <w:tcPr>
            <w:tcW w:type="dxa" w:w="2600"/>
            <w:tcMar>
              <w:top w:type="dxa" w:w="50"/>
              <w:left w:type="dxa" w:w="100"/>
              <w:bottom w:type="dxa" w:w="50"/>
              <w:right w:type="dxa" w:w="100"/>
            </w:tcMar>
          </w:tcPr>
          <w:p>
            <w:pPr>
              <w:jc w:val="center"/>
            </w:pPr>
            <w:r>
              <w:rPr>
                <w:rFonts w:ascii="Calibri" w:cs="Calibri" w:eastAsia="Calibri" w:hAnsi="Calibri"/>
                <w:color w:val="222222"/>
                <w:sz w:val="20"/>
                <w:szCs w:val="20"/>
              </w:rPr>
              <w:t xml:space="preserve">3.00%</w:t>
            </w:r>
          </w:p>
        </w:tc>
      </w:tr>
      <w:tr>
        <w:tc>
          <w:tcPr>
            <w:tcW w:type="dxa" w:w="3200"/>
            <w:shd w:fill="F2F5F8" w:val="clear"/>
            <w:tcMar>
              <w:top w:type="dxa" w:w="50"/>
              <w:left w:type="dxa" w:w="100"/>
              <w:bottom w:type="dxa" w:w="50"/>
              <w:right w:type="dxa" w:w="100"/>
            </w:tcMar>
          </w:tcPr>
          <w:p>
            <w:pPr>
              <w:jc w:val="left"/>
            </w:pPr>
            <w:r>
              <w:rPr>
                <w:rFonts w:ascii="Calibri" w:cs="Calibri" w:eastAsia="Calibri" w:hAnsi="Calibri"/>
                <w:color w:val="222222"/>
                <w:sz w:val="20"/>
                <w:szCs w:val="20"/>
              </w:rPr>
              <w:t xml:space="preserve">num_complaints</w:t>
            </w:r>
          </w:p>
        </w:tc>
        <w:tc>
          <w:tcPr>
            <w:tcW w:type="dxa" w:w="2600"/>
            <w:shd w:fill="F2F5F8" w:val="clear"/>
            <w:tcMar>
              <w:top w:type="dxa" w:w="50"/>
              <w:left w:type="dxa" w:w="100"/>
              <w:bottom w:type="dxa" w:w="50"/>
              <w:right w:type="dxa" w:w="100"/>
            </w:tcMar>
          </w:tcPr>
          <w:p>
            <w:pPr>
              <w:jc w:val="center"/>
            </w:pPr>
            <w:r>
              <w:rPr>
                <w:rFonts w:ascii="Calibri" w:cs="Calibri" w:eastAsia="Calibri" w:hAnsi="Calibri"/>
                <w:color w:val="222222"/>
                <w:sz w:val="20"/>
                <w:szCs w:val="20"/>
              </w:rPr>
              <w:t xml:space="preserve">29,906</w:t>
            </w:r>
          </w:p>
        </w:tc>
        <w:tc>
          <w:tcPr>
            <w:tcW w:type="dxa" w:w="2600"/>
            <w:shd w:fill="F2F5F8" w:val="clear"/>
            <w:tcMar>
              <w:top w:type="dxa" w:w="50"/>
              <w:left w:type="dxa" w:w="100"/>
              <w:bottom w:type="dxa" w:w="50"/>
              <w:right w:type="dxa" w:w="100"/>
            </w:tcMar>
          </w:tcPr>
          <w:p>
            <w:pPr>
              <w:jc w:val="center"/>
            </w:pPr>
            <w:r>
              <w:rPr>
                <w:rFonts w:ascii="Calibri" w:cs="Calibri" w:eastAsia="Calibri" w:hAnsi="Calibri"/>
                <w:color w:val="222222"/>
                <w:sz w:val="20"/>
                <w:szCs w:val="20"/>
              </w:rPr>
              <w:t xml:space="preserve">2.99%</w:t>
            </w:r>
          </w:p>
        </w:tc>
      </w:tr>
      <w:tr>
        <w:tc>
          <w:tcPr>
            <w:tcW w:type="dxa" w:w="3200"/>
            <w:tcMar>
              <w:top w:type="dxa" w:w="50"/>
              <w:left w:type="dxa" w:w="100"/>
              <w:bottom w:type="dxa" w:w="50"/>
              <w:right w:type="dxa" w:w="100"/>
            </w:tcMar>
          </w:tcPr>
          <w:p>
            <w:pPr>
              <w:jc w:val="left"/>
            </w:pPr>
            <w:r>
              <w:rPr>
                <w:rFonts w:ascii="Calibri" w:cs="Calibri" w:eastAsia="Calibri" w:hAnsi="Calibri"/>
                <w:color w:val="222222"/>
                <w:sz w:val="20"/>
                <w:szCs w:val="20"/>
              </w:rPr>
              <w:t xml:space="preserve">customer_satisfaction</w:t>
            </w:r>
          </w:p>
        </w:tc>
        <w:tc>
          <w:tcPr>
            <w:tcW w:type="dxa" w:w="2600"/>
            <w:tcMar>
              <w:top w:type="dxa" w:w="50"/>
              <w:left w:type="dxa" w:w="100"/>
              <w:bottom w:type="dxa" w:w="50"/>
              <w:right w:type="dxa" w:w="100"/>
            </w:tcMar>
          </w:tcPr>
          <w:p>
            <w:pPr>
              <w:jc w:val="center"/>
            </w:pPr>
            <w:r>
              <w:rPr>
                <w:rFonts w:ascii="Calibri" w:cs="Calibri" w:eastAsia="Calibri" w:hAnsi="Calibri"/>
                <w:color w:val="222222"/>
                <w:sz w:val="20"/>
                <w:szCs w:val="20"/>
              </w:rPr>
              <w:t xml:space="preserve">19,921</w:t>
            </w:r>
          </w:p>
        </w:tc>
        <w:tc>
          <w:tcPr>
            <w:tcW w:type="dxa" w:w="2600"/>
            <w:tcMar>
              <w:top w:type="dxa" w:w="50"/>
              <w:left w:type="dxa" w:w="100"/>
              <w:bottom w:type="dxa" w:w="50"/>
              <w:right w:type="dxa" w:w="100"/>
            </w:tcMar>
          </w:tcPr>
          <w:p>
            <w:pPr>
              <w:jc w:val="center"/>
            </w:pPr>
            <w:r>
              <w:rPr>
                <w:rFonts w:ascii="Calibri" w:cs="Calibri" w:eastAsia="Calibri" w:hAnsi="Calibri"/>
                <w:color w:val="222222"/>
                <w:sz w:val="20"/>
                <w:szCs w:val="20"/>
              </w:rPr>
              <w:t xml:space="preserve">1.99%</w:t>
            </w:r>
          </w:p>
        </w:tc>
      </w:tr>
    </w:tbl>
    <w:p>
      <w:pPr>
        <w:spacing w:after="120"/>
      </w:pPr>
    </w:p>
    <w:p>
      <w:pPr>
        <w:pStyle w:val="Heading2"/>
        <w:spacing w:after="120" w:before="240"/>
      </w:pPr>
      <w:r>
        <w:rPr>
          <w:b/>
          <w:bCs/>
          <w:color w:val="1F3B57"/>
        </w:rPr>
        <w:t xml:space="preserve">2.3 Missingness mechanism</w:t>
      </w:r>
    </w:p>
    <w:p>
      <w:pPr>
        <w:spacing w:after="160" w:line="276"/>
        <w:jc w:val="both"/>
      </w:pPr>
      <w:r>
        <w:rPr>
          <w:rFonts w:ascii="Calibri" w:cs="Calibri" w:eastAsia="Calibri" w:hAnsi="Calibri"/>
          <w:sz w:val="22"/>
          <w:szCs w:val="22"/>
        </w:rPr>
        <w:t xml:space="preserve">Missingness was tested against both the target and other observed features. Churn rates were virtually identical for records with and without missing values (e.g., 9.92% vs 9.91% for annual_income), and while 3 of 25 missingness-vs-feature association tests returned p &lt; 0.05, effect sizes were trivial (differences under 0.5 percentage points, or under $0.50 on an $86 average) — consistent with large-sample statistical noise at n = 1,000,000. Missingness was therefore treated as missing completely at random (MCAR), and median imputation was applied to all five columns. Median rather than mean was chosen because the affected variables are right-skewed.</w:t>
      </w:r>
    </w:p>
    <w:p>
      <w:pPr>
        <w:pStyle w:val="Heading1"/>
        <w:spacing w:after="160" w:before="320"/>
      </w:pPr>
      <w:r>
        <w:rPr>
          <w:b/>
          <w:bCs/>
          <w:color w:val="1F3B57"/>
        </w:rPr>
        <w:t xml:space="preserve">3. Exploratory Findings</w:t>
      </w:r>
    </w:p>
    <w:p>
      <w:pPr>
        <w:pStyle w:val="Heading2"/>
        <w:spacing w:after="120" w:before="240"/>
      </w:pPr>
      <w:r>
        <w:rPr>
          <w:b/>
          <w:bCs/>
          <w:color w:val="1F3B57"/>
        </w:rPr>
        <w:t xml:space="preserve">3.1 Distributions and outliers</w:t>
      </w:r>
    </w:p>
    <w:p>
      <w:pPr>
        <w:spacing w:after="160" w:line="276"/>
        <w:jc w:val="both"/>
      </w:pPr>
      <w:r>
        <w:rPr>
          <w:rFonts w:ascii="Calibri" w:cs="Calibri" w:eastAsia="Calibri" w:hAnsi="Calibri"/>
          <w:sz w:val="22"/>
          <w:szCs w:val="22"/>
        </w:rPr>
        <w:t xml:space="preserve">Most numeric features are right-skewed: monthlycharges (skew 6.6) and avg_monthly_gb (3.4) most heavily, with days_since_last_interaction, annual_income, late_payments, totalcharges, complaints, dependents, tenure, and service calls moderately skewed (1–2). Age, credit score, and satisfaction are approximately symmetric. Boxplot review concluded that apparent outliers — premium-plan charges above $200, data usage above 300 GB, high service-call counts — are plausible real behavior and potentially informative churn signals, so they were retained (with winsorization at the 1st/99th percentiles noted as the planned treatment for extreme data usage). Because the final models are tree-based, no skew-correcting transformations were required.</w:t>
      </w:r>
    </w:p>
    <w:p>
      <w:pPr>
        <w:pStyle w:val="Heading2"/>
        <w:spacing w:after="120" w:before="240"/>
      </w:pPr>
      <w:r>
        <w:rPr>
          <w:b/>
          <w:bCs/>
          <w:color w:val="1F3B57"/>
        </w:rPr>
        <w:t xml:space="preserve">3.2 Which features separate churners?</w:t>
      </w:r>
    </w:p>
    <w:p>
      <w:pPr>
        <w:spacing w:after="160" w:line="276"/>
        <w:jc w:val="both"/>
      </w:pPr>
      <w:r>
        <w:rPr>
          <w:rFonts w:ascii="Calibri" w:cs="Calibri" w:eastAsia="Calibri" w:hAnsi="Calibri"/>
          <w:sz w:val="22"/>
          <w:szCs w:val="22"/>
        </w:rPr>
        <w:t xml:space="preserve">Welch t-tests with Cohen’s d ranked the numeric features by their ability to separate churners from non-churners: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3400"/>
        <w:gridCol w:w="1700"/>
        <w:gridCol w:w="1700"/>
        <w:gridCol w:w="1500"/>
        <w:gridCol w:w="1700"/>
      </w:tblGrid>
      <w:tr>
        <w:trPr>
          <w:tblHeader/>
        </w:trPr>
        <w:tc>
          <w:tcPr>
            <w:tcW w:type="dxa" w:w="3400"/>
            <w:shd w:fill="1F3B57" w:val="clear"/>
            <w:tcMar>
              <w:top w:type="dxa" w:w="60"/>
              <w:left w:type="dxa" w:w="100"/>
              <w:bottom w:type="dxa" w:w="60"/>
              <w:right w:type="dxa" w:w="100"/>
            </w:tcMar>
          </w:tcPr>
          <w:p>
            <w:pPr>
              <w:jc w:val="left"/>
            </w:pPr>
            <w:r>
              <w:rPr>
                <w:rFonts w:ascii="Calibri" w:cs="Calibri" w:eastAsia="Calibri" w:hAnsi="Calibri"/>
                <w:b/>
                <w:bCs/>
                <w:color w:val="FFFFFF"/>
                <w:sz w:val="20"/>
                <w:szCs w:val="20"/>
              </w:rPr>
              <w:t xml:space="preserve">Feature</w:t>
            </w:r>
          </w:p>
        </w:tc>
        <w:tc>
          <w:tcPr>
            <w:tcW w:type="dxa" w:w="1700"/>
            <w:shd w:fill="1F3B57" w:val="clear"/>
            <w:tcMar>
              <w:top w:type="dxa" w:w="60"/>
              <w:left w:type="dxa" w:w="100"/>
              <w:bottom w:type="dxa" w:w="60"/>
              <w:right w:type="dxa" w:w="100"/>
            </w:tcMar>
          </w:tcPr>
          <w:p>
            <w:pPr>
              <w:jc w:val="center"/>
            </w:pPr>
            <w:r>
              <w:rPr>
                <w:rFonts w:ascii="Calibri" w:cs="Calibri" w:eastAsia="Calibri" w:hAnsi="Calibri"/>
                <w:b/>
                <w:bCs/>
                <w:color w:val="FFFFFF"/>
                <w:sz w:val="20"/>
                <w:szCs w:val="20"/>
              </w:rPr>
              <w:t xml:space="preserve">Mean (stay)</w:t>
            </w:r>
          </w:p>
        </w:tc>
        <w:tc>
          <w:tcPr>
            <w:tcW w:type="dxa" w:w="1700"/>
            <w:shd w:fill="1F3B57" w:val="clear"/>
            <w:tcMar>
              <w:top w:type="dxa" w:w="60"/>
              <w:left w:type="dxa" w:w="100"/>
              <w:bottom w:type="dxa" w:w="60"/>
              <w:right w:type="dxa" w:w="100"/>
            </w:tcMar>
          </w:tcPr>
          <w:p>
            <w:pPr>
              <w:jc w:val="center"/>
            </w:pPr>
            <w:r>
              <w:rPr>
                <w:rFonts w:ascii="Calibri" w:cs="Calibri" w:eastAsia="Calibri" w:hAnsi="Calibri"/>
                <w:b/>
                <w:bCs/>
                <w:color w:val="FFFFFF"/>
                <w:sz w:val="20"/>
                <w:szCs w:val="20"/>
              </w:rPr>
              <w:t xml:space="preserve">Mean (churn)</w:t>
            </w:r>
          </w:p>
        </w:tc>
        <w:tc>
          <w:tcPr>
            <w:tcW w:type="dxa" w:w="1500"/>
            <w:shd w:fill="1F3B57" w:val="clear"/>
            <w:tcMar>
              <w:top w:type="dxa" w:w="60"/>
              <w:left w:type="dxa" w:w="100"/>
              <w:bottom w:type="dxa" w:w="60"/>
              <w:right w:type="dxa" w:w="100"/>
            </w:tcMar>
          </w:tcPr>
          <w:p>
            <w:pPr>
              <w:jc w:val="center"/>
            </w:pPr>
            <w:r>
              <w:rPr>
                <w:rFonts w:ascii="Calibri" w:cs="Calibri" w:eastAsia="Calibri" w:hAnsi="Calibri"/>
                <w:b/>
                <w:bCs/>
                <w:color w:val="FFFFFF"/>
                <w:sz w:val="20"/>
                <w:szCs w:val="20"/>
              </w:rPr>
              <w:t xml:space="preserve">Cohen's d</w:t>
            </w:r>
          </w:p>
        </w:tc>
        <w:tc>
          <w:tcPr>
            <w:tcW w:type="dxa" w:w="1700"/>
            <w:shd w:fill="1F3B57" w:val="clear"/>
            <w:tcMar>
              <w:top w:type="dxa" w:w="60"/>
              <w:left w:type="dxa" w:w="100"/>
              <w:bottom w:type="dxa" w:w="60"/>
              <w:right w:type="dxa" w:w="100"/>
            </w:tcMar>
          </w:tcPr>
          <w:p>
            <w:pPr>
              <w:jc w:val="center"/>
            </w:pPr>
            <w:r>
              <w:rPr>
                <w:rFonts w:ascii="Calibri" w:cs="Calibri" w:eastAsia="Calibri" w:hAnsi="Calibri"/>
                <w:b/>
                <w:bCs/>
                <w:color w:val="FFFFFF"/>
                <w:sz w:val="20"/>
                <w:szCs w:val="20"/>
              </w:rPr>
              <w:t xml:space="preserve">Effect</w:t>
            </w:r>
          </w:p>
        </w:tc>
      </w:tr>
      <w:tr>
        <w:tc>
          <w:tcPr>
            <w:tcW w:type="dxa" w:w="3400"/>
            <w:tcMar>
              <w:top w:type="dxa" w:w="50"/>
              <w:left w:type="dxa" w:w="100"/>
              <w:bottom w:type="dxa" w:w="50"/>
              <w:right w:type="dxa" w:w="100"/>
            </w:tcMar>
          </w:tcPr>
          <w:p>
            <w:pPr>
              <w:jc w:val="left"/>
            </w:pPr>
            <w:r>
              <w:rPr>
                <w:rFonts w:ascii="Calibri" w:cs="Calibri" w:eastAsia="Calibri" w:hAnsi="Calibri"/>
                <w:color w:val="222222"/>
                <w:sz w:val="20"/>
                <w:szCs w:val="20"/>
              </w:rPr>
              <w:t xml:space="preserve">customer_satisfaction</w:t>
            </w:r>
          </w:p>
        </w:tc>
        <w:tc>
          <w:tcPr>
            <w:tcW w:type="dxa" w:w="1700"/>
            <w:tcMar>
              <w:top w:type="dxa" w:w="50"/>
              <w:left w:type="dxa" w:w="100"/>
              <w:bottom w:type="dxa" w:w="50"/>
              <w:right w:type="dxa" w:w="100"/>
            </w:tcMar>
          </w:tcPr>
          <w:p>
            <w:pPr>
              <w:jc w:val="center"/>
            </w:pPr>
            <w:r>
              <w:rPr>
                <w:rFonts w:ascii="Calibri" w:cs="Calibri" w:eastAsia="Calibri" w:hAnsi="Calibri"/>
                <w:color w:val="222222"/>
                <w:sz w:val="20"/>
                <w:szCs w:val="20"/>
              </w:rPr>
              <w:t xml:space="preserve">6.24</w:t>
            </w:r>
          </w:p>
        </w:tc>
        <w:tc>
          <w:tcPr>
            <w:tcW w:type="dxa" w:w="1700"/>
            <w:tcMar>
              <w:top w:type="dxa" w:w="50"/>
              <w:left w:type="dxa" w:w="100"/>
              <w:bottom w:type="dxa" w:w="50"/>
              <w:right w:type="dxa" w:w="100"/>
            </w:tcMar>
          </w:tcPr>
          <w:p>
            <w:pPr>
              <w:jc w:val="center"/>
            </w:pPr>
            <w:r>
              <w:rPr>
                <w:rFonts w:ascii="Calibri" w:cs="Calibri" w:eastAsia="Calibri" w:hAnsi="Calibri"/>
                <w:color w:val="222222"/>
                <w:sz w:val="20"/>
                <w:szCs w:val="20"/>
              </w:rPr>
              <w:t xml:space="preserve">5.59</w:t>
            </w:r>
          </w:p>
        </w:tc>
        <w:tc>
          <w:tcPr>
            <w:tcW w:type="dxa" w:w="1500"/>
            <w:tcMar>
              <w:top w:type="dxa" w:w="50"/>
              <w:left w:type="dxa" w:w="100"/>
              <w:bottom w:type="dxa" w:w="50"/>
              <w:right w:type="dxa" w:w="100"/>
            </w:tcMar>
          </w:tcPr>
          <w:p>
            <w:pPr>
              <w:jc w:val="center"/>
            </w:pPr>
            <w:r>
              <w:rPr>
                <w:rFonts w:ascii="Calibri" w:cs="Calibri" w:eastAsia="Calibri" w:hAnsi="Calibri"/>
                <w:color w:val="222222"/>
                <w:sz w:val="20"/>
                <w:szCs w:val="20"/>
              </w:rPr>
              <w:t xml:space="preserve">0.272</w:t>
            </w:r>
          </w:p>
        </w:tc>
        <w:tc>
          <w:tcPr>
            <w:tcW w:type="dxa" w:w="1700"/>
            <w:tcMar>
              <w:top w:type="dxa" w:w="50"/>
              <w:left w:type="dxa" w:w="100"/>
              <w:bottom w:type="dxa" w:w="50"/>
              <w:right w:type="dxa" w:w="100"/>
            </w:tcMar>
          </w:tcPr>
          <w:p>
            <w:pPr>
              <w:jc w:val="center"/>
            </w:pPr>
            <w:r>
              <w:rPr>
                <w:rFonts w:ascii="Calibri" w:cs="Calibri" w:eastAsia="Calibri" w:hAnsi="Calibri"/>
                <w:color w:val="222222"/>
                <w:sz w:val="20"/>
                <w:szCs w:val="20"/>
              </w:rPr>
              <w:t xml:space="preserve">Small</w:t>
            </w:r>
          </w:p>
        </w:tc>
      </w:tr>
      <w:tr>
        <w:tc>
          <w:tcPr>
            <w:tcW w:type="dxa" w:w="3400"/>
            <w:shd w:fill="F2F5F8" w:val="clear"/>
            <w:tcMar>
              <w:top w:type="dxa" w:w="50"/>
              <w:left w:type="dxa" w:w="100"/>
              <w:bottom w:type="dxa" w:w="50"/>
              <w:right w:type="dxa" w:w="100"/>
            </w:tcMar>
          </w:tcPr>
          <w:p>
            <w:pPr>
              <w:jc w:val="left"/>
            </w:pPr>
            <w:r>
              <w:rPr>
                <w:rFonts w:ascii="Calibri" w:cs="Calibri" w:eastAsia="Calibri" w:hAnsi="Calibri"/>
                <w:color w:val="222222"/>
                <w:sz w:val="20"/>
                <w:szCs w:val="20"/>
              </w:rPr>
              <w:t xml:space="preserve">num_complaints</w:t>
            </w:r>
          </w:p>
        </w:tc>
        <w:tc>
          <w:tcPr>
            <w:tcW w:type="dxa" w:w="1700"/>
            <w:shd w:fill="F2F5F8" w:val="clear"/>
            <w:tcMar>
              <w:top w:type="dxa" w:w="50"/>
              <w:left w:type="dxa" w:w="100"/>
              <w:bottom w:type="dxa" w:w="50"/>
              <w:right w:type="dxa" w:w="100"/>
            </w:tcMar>
          </w:tcPr>
          <w:p>
            <w:pPr>
              <w:jc w:val="center"/>
            </w:pPr>
            <w:r>
              <w:rPr>
                <w:rFonts w:ascii="Calibri" w:cs="Calibri" w:eastAsia="Calibri" w:hAnsi="Calibri"/>
                <w:color w:val="222222"/>
                <w:sz w:val="20"/>
                <w:szCs w:val="20"/>
              </w:rPr>
              <w:t xml:space="preserve">0.69</w:t>
            </w:r>
          </w:p>
        </w:tc>
        <w:tc>
          <w:tcPr>
            <w:tcW w:type="dxa" w:w="1700"/>
            <w:shd w:fill="F2F5F8" w:val="clear"/>
            <w:tcMar>
              <w:top w:type="dxa" w:w="50"/>
              <w:left w:type="dxa" w:w="100"/>
              <w:bottom w:type="dxa" w:w="50"/>
              <w:right w:type="dxa" w:w="100"/>
            </w:tcMar>
          </w:tcPr>
          <w:p>
            <w:pPr>
              <w:jc w:val="center"/>
            </w:pPr>
            <w:r>
              <w:rPr>
                <w:rFonts w:ascii="Calibri" w:cs="Calibri" w:eastAsia="Calibri" w:hAnsi="Calibri"/>
                <w:color w:val="222222"/>
                <w:sz w:val="20"/>
                <w:szCs w:val="20"/>
              </w:rPr>
              <w:t xml:space="preserve">0.91</w:t>
            </w:r>
          </w:p>
        </w:tc>
        <w:tc>
          <w:tcPr>
            <w:tcW w:type="dxa" w:w="1500"/>
            <w:shd w:fill="F2F5F8" w:val="clear"/>
            <w:tcMar>
              <w:top w:type="dxa" w:w="50"/>
              <w:left w:type="dxa" w:w="100"/>
              <w:bottom w:type="dxa" w:w="50"/>
              <w:right w:type="dxa" w:w="100"/>
            </w:tcMar>
          </w:tcPr>
          <w:p>
            <w:pPr>
              <w:jc w:val="center"/>
            </w:pPr>
            <w:r>
              <w:rPr>
                <w:rFonts w:ascii="Calibri" w:cs="Calibri" w:eastAsia="Calibri" w:hAnsi="Calibri"/>
                <w:color w:val="222222"/>
                <w:sz w:val="20"/>
                <w:szCs w:val="20"/>
              </w:rPr>
              <w:t xml:space="preserve">0.249</w:t>
            </w:r>
          </w:p>
        </w:tc>
        <w:tc>
          <w:tcPr>
            <w:tcW w:type="dxa" w:w="1700"/>
            <w:shd w:fill="F2F5F8" w:val="clear"/>
            <w:tcMar>
              <w:top w:type="dxa" w:w="50"/>
              <w:left w:type="dxa" w:w="100"/>
              <w:bottom w:type="dxa" w:w="50"/>
              <w:right w:type="dxa" w:w="100"/>
            </w:tcMar>
          </w:tcPr>
          <w:p>
            <w:pPr>
              <w:jc w:val="center"/>
            </w:pPr>
            <w:r>
              <w:rPr>
                <w:rFonts w:ascii="Calibri" w:cs="Calibri" w:eastAsia="Calibri" w:hAnsi="Calibri"/>
                <w:color w:val="222222"/>
                <w:sz w:val="20"/>
                <w:szCs w:val="20"/>
              </w:rPr>
              <w:t xml:space="preserve">Small</w:t>
            </w:r>
          </w:p>
        </w:tc>
      </w:tr>
      <w:tr>
        <w:tc>
          <w:tcPr>
            <w:tcW w:type="dxa" w:w="3400"/>
            <w:tcMar>
              <w:top w:type="dxa" w:w="50"/>
              <w:left w:type="dxa" w:w="100"/>
              <w:bottom w:type="dxa" w:w="50"/>
              <w:right w:type="dxa" w:w="100"/>
            </w:tcMar>
          </w:tcPr>
          <w:p>
            <w:pPr>
              <w:jc w:val="left"/>
            </w:pPr>
            <w:r>
              <w:rPr>
                <w:rFonts w:ascii="Calibri" w:cs="Calibri" w:eastAsia="Calibri" w:hAnsi="Calibri"/>
                <w:color w:val="222222"/>
                <w:sz w:val="20"/>
                <w:szCs w:val="20"/>
              </w:rPr>
              <w:t xml:space="preserve">num_service_calls</w:t>
            </w:r>
          </w:p>
        </w:tc>
        <w:tc>
          <w:tcPr>
            <w:tcW w:type="dxa" w:w="1700"/>
            <w:tcMar>
              <w:top w:type="dxa" w:w="50"/>
              <w:left w:type="dxa" w:w="100"/>
              <w:bottom w:type="dxa" w:w="50"/>
              <w:right w:type="dxa" w:w="100"/>
            </w:tcMar>
          </w:tcPr>
          <w:p>
            <w:pPr>
              <w:jc w:val="center"/>
            </w:pPr>
            <w:r>
              <w:rPr>
                <w:rFonts w:ascii="Calibri" w:cs="Calibri" w:eastAsia="Calibri" w:hAnsi="Calibri"/>
                <w:color w:val="222222"/>
                <w:sz w:val="20"/>
                <w:szCs w:val="20"/>
              </w:rPr>
              <w:t xml:space="preserve">1.72</w:t>
            </w:r>
          </w:p>
        </w:tc>
        <w:tc>
          <w:tcPr>
            <w:tcW w:type="dxa" w:w="1700"/>
            <w:tcMar>
              <w:top w:type="dxa" w:w="50"/>
              <w:left w:type="dxa" w:w="100"/>
              <w:bottom w:type="dxa" w:w="50"/>
              <w:right w:type="dxa" w:w="100"/>
            </w:tcMar>
          </w:tcPr>
          <w:p>
            <w:pPr>
              <w:jc w:val="center"/>
            </w:pPr>
            <w:r>
              <w:rPr>
                <w:rFonts w:ascii="Calibri" w:cs="Calibri" w:eastAsia="Calibri" w:hAnsi="Calibri"/>
                <w:color w:val="222222"/>
                <w:sz w:val="20"/>
                <w:szCs w:val="20"/>
              </w:rPr>
              <w:t xml:space="preserve">2.11</w:t>
            </w:r>
          </w:p>
        </w:tc>
        <w:tc>
          <w:tcPr>
            <w:tcW w:type="dxa" w:w="1500"/>
            <w:tcMar>
              <w:top w:type="dxa" w:w="50"/>
              <w:left w:type="dxa" w:w="100"/>
              <w:bottom w:type="dxa" w:w="50"/>
              <w:right w:type="dxa" w:w="100"/>
            </w:tcMar>
          </w:tcPr>
          <w:p>
            <w:pPr>
              <w:jc w:val="center"/>
            </w:pPr>
            <w:r>
              <w:rPr>
                <w:rFonts w:ascii="Calibri" w:cs="Calibri" w:eastAsia="Calibri" w:hAnsi="Calibri"/>
                <w:color w:val="222222"/>
                <w:sz w:val="20"/>
                <w:szCs w:val="20"/>
              </w:rPr>
              <w:t xml:space="preserve">0.244</w:t>
            </w:r>
          </w:p>
        </w:tc>
        <w:tc>
          <w:tcPr>
            <w:tcW w:type="dxa" w:w="1700"/>
            <w:tcMar>
              <w:top w:type="dxa" w:w="50"/>
              <w:left w:type="dxa" w:w="100"/>
              <w:bottom w:type="dxa" w:w="50"/>
              <w:right w:type="dxa" w:w="100"/>
            </w:tcMar>
          </w:tcPr>
          <w:p>
            <w:pPr>
              <w:jc w:val="center"/>
            </w:pPr>
            <w:r>
              <w:rPr>
                <w:rFonts w:ascii="Calibri" w:cs="Calibri" w:eastAsia="Calibri" w:hAnsi="Calibri"/>
                <w:color w:val="222222"/>
                <w:sz w:val="20"/>
                <w:szCs w:val="20"/>
              </w:rPr>
              <w:t xml:space="preserve">Small</w:t>
            </w:r>
          </w:p>
        </w:tc>
      </w:tr>
      <w:tr>
        <w:tc>
          <w:tcPr>
            <w:tcW w:type="dxa" w:w="3400"/>
            <w:shd w:fill="F2F5F8" w:val="clear"/>
            <w:tcMar>
              <w:top w:type="dxa" w:w="50"/>
              <w:left w:type="dxa" w:w="100"/>
              <w:bottom w:type="dxa" w:w="50"/>
              <w:right w:type="dxa" w:w="100"/>
            </w:tcMar>
          </w:tcPr>
          <w:p>
            <w:pPr>
              <w:jc w:val="left"/>
            </w:pPr>
            <w:r>
              <w:rPr>
                <w:rFonts w:ascii="Calibri" w:cs="Calibri" w:eastAsia="Calibri" w:hAnsi="Calibri"/>
                <w:color w:val="222222"/>
                <w:sz w:val="20"/>
                <w:szCs w:val="20"/>
              </w:rPr>
              <w:t xml:space="preserve">late_payments</w:t>
            </w:r>
          </w:p>
        </w:tc>
        <w:tc>
          <w:tcPr>
            <w:tcW w:type="dxa" w:w="1700"/>
            <w:shd w:fill="F2F5F8" w:val="clear"/>
            <w:tcMar>
              <w:top w:type="dxa" w:w="50"/>
              <w:left w:type="dxa" w:w="100"/>
              <w:bottom w:type="dxa" w:w="50"/>
              <w:right w:type="dxa" w:w="100"/>
            </w:tcMar>
          </w:tcPr>
          <w:p>
            <w:pPr>
              <w:jc w:val="center"/>
            </w:pPr>
            <w:r>
              <w:rPr>
                <w:rFonts w:ascii="Calibri" w:cs="Calibri" w:eastAsia="Calibri" w:hAnsi="Calibri"/>
                <w:color w:val="222222"/>
                <w:sz w:val="20"/>
                <w:szCs w:val="20"/>
              </w:rPr>
              <w:t xml:space="preserve">0.39</w:t>
            </w:r>
          </w:p>
        </w:tc>
        <w:tc>
          <w:tcPr>
            <w:tcW w:type="dxa" w:w="1700"/>
            <w:shd w:fill="F2F5F8" w:val="clear"/>
            <w:tcMar>
              <w:top w:type="dxa" w:w="50"/>
              <w:left w:type="dxa" w:w="100"/>
              <w:bottom w:type="dxa" w:w="50"/>
              <w:right w:type="dxa" w:w="100"/>
            </w:tcMar>
          </w:tcPr>
          <w:p>
            <w:pPr>
              <w:jc w:val="center"/>
            </w:pPr>
            <w:r>
              <w:rPr>
                <w:rFonts w:ascii="Calibri" w:cs="Calibri" w:eastAsia="Calibri" w:hAnsi="Calibri"/>
                <w:color w:val="222222"/>
                <w:sz w:val="20"/>
                <w:szCs w:val="20"/>
              </w:rPr>
              <w:t xml:space="preserve">0.49</w:t>
            </w:r>
          </w:p>
        </w:tc>
        <w:tc>
          <w:tcPr>
            <w:tcW w:type="dxa" w:w="1500"/>
            <w:shd w:fill="F2F5F8" w:val="clear"/>
            <w:tcMar>
              <w:top w:type="dxa" w:w="50"/>
              <w:left w:type="dxa" w:w="100"/>
              <w:bottom w:type="dxa" w:w="50"/>
              <w:right w:type="dxa" w:w="100"/>
            </w:tcMar>
          </w:tcPr>
          <w:p>
            <w:pPr>
              <w:jc w:val="center"/>
            </w:pPr>
            <w:r>
              <w:rPr>
                <w:rFonts w:ascii="Calibri" w:cs="Calibri" w:eastAsia="Calibri" w:hAnsi="Calibri"/>
                <w:color w:val="222222"/>
                <w:sz w:val="20"/>
                <w:szCs w:val="20"/>
              </w:rPr>
              <w:t xml:space="preserve">0.152</w:t>
            </w:r>
          </w:p>
        </w:tc>
        <w:tc>
          <w:tcPr>
            <w:tcW w:type="dxa" w:w="1700"/>
            <w:shd w:fill="F2F5F8" w:val="clear"/>
            <w:tcMar>
              <w:top w:type="dxa" w:w="50"/>
              <w:left w:type="dxa" w:w="100"/>
              <w:bottom w:type="dxa" w:w="50"/>
              <w:right w:type="dxa" w:w="100"/>
            </w:tcMar>
          </w:tcPr>
          <w:p>
            <w:pPr>
              <w:jc w:val="center"/>
            </w:pPr>
            <w:r>
              <w:rPr>
                <w:rFonts w:ascii="Calibri" w:cs="Calibri" w:eastAsia="Calibri" w:hAnsi="Calibri"/>
                <w:color w:val="222222"/>
                <w:sz w:val="20"/>
                <w:szCs w:val="20"/>
              </w:rPr>
              <w:t xml:space="preserve">Small</w:t>
            </w:r>
          </w:p>
        </w:tc>
      </w:tr>
      <w:tr>
        <w:tc>
          <w:tcPr>
            <w:tcW w:type="dxa" w:w="3400"/>
            <w:tcMar>
              <w:top w:type="dxa" w:w="50"/>
              <w:left w:type="dxa" w:w="100"/>
              <w:bottom w:type="dxa" w:w="50"/>
              <w:right w:type="dxa" w:w="100"/>
            </w:tcMar>
          </w:tcPr>
          <w:p>
            <w:pPr>
              <w:jc w:val="left"/>
            </w:pPr>
            <w:r>
              <w:rPr>
                <w:rFonts w:ascii="Calibri" w:cs="Calibri" w:eastAsia="Calibri" w:hAnsi="Calibri"/>
                <w:color w:val="222222"/>
                <w:sz w:val="20"/>
                <w:szCs w:val="20"/>
              </w:rPr>
              <w:t xml:space="preserve">num_services</w:t>
            </w:r>
          </w:p>
        </w:tc>
        <w:tc>
          <w:tcPr>
            <w:tcW w:type="dxa" w:w="1700"/>
            <w:tcMar>
              <w:top w:type="dxa" w:w="50"/>
              <w:left w:type="dxa" w:w="100"/>
              <w:bottom w:type="dxa" w:w="50"/>
              <w:right w:type="dxa" w:w="100"/>
            </w:tcMar>
          </w:tcPr>
          <w:p>
            <w:pPr>
              <w:jc w:val="center"/>
            </w:pPr>
            <w:r>
              <w:rPr>
                <w:rFonts w:ascii="Calibri" w:cs="Calibri" w:eastAsia="Calibri" w:hAnsi="Calibri"/>
                <w:color w:val="222222"/>
                <w:sz w:val="20"/>
                <w:szCs w:val="20"/>
              </w:rPr>
              <w:t xml:space="preserve">2.58</w:t>
            </w:r>
          </w:p>
        </w:tc>
        <w:tc>
          <w:tcPr>
            <w:tcW w:type="dxa" w:w="1700"/>
            <w:tcMar>
              <w:top w:type="dxa" w:w="50"/>
              <w:left w:type="dxa" w:w="100"/>
              <w:bottom w:type="dxa" w:w="50"/>
              <w:right w:type="dxa" w:w="100"/>
            </w:tcMar>
          </w:tcPr>
          <w:p>
            <w:pPr>
              <w:jc w:val="center"/>
            </w:pPr>
            <w:r>
              <w:rPr>
                <w:rFonts w:ascii="Calibri" w:cs="Calibri" w:eastAsia="Calibri" w:hAnsi="Calibri"/>
                <w:color w:val="222222"/>
                <w:sz w:val="20"/>
                <w:szCs w:val="20"/>
              </w:rPr>
              <w:t xml:space="preserve">2.42</w:t>
            </w:r>
          </w:p>
        </w:tc>
        <w:tc>
          <w:tcPr>
            <w:tcW w:type="dxa" w:w="1500"/>
            <w:tcMar>
              <w:top w:type="dxa" w:w="50"/>
              <w:left w:type="dxa" w:w="100"/>
              <w:bottom w:type="dxa" w:w="50"/>
              <w:right w:type="dxa" w:w="100"/>
            </w:tcMar>
          </w:tcPr>
          <w:p>
            <w:pPr>
              <w:jc w:val="center"/>
            </w:pPr>
            <w:r>
              <w:rPr>
                <w:rFonts w:ascii="Calibri" w:cs="Calibri" w:eastAsia="Calibri" w:hAnsi="Calibri"/>
                <w:color w:val="222222"/>
                <w:sz w:val="20"/>
                <w:szCs w:val="20"/>
              </w:rPr>
              <w:t xml:space="preserve">0.114</w:t>
            </w:r>
          </w:p>
        </w:tc>
        <w:tc>
          <w:tcPr>
            <w:tcW w:type="dxa" w:w="1700"/>
            <w:tcMar>
              <w:top w:type="dxa" w:w="50"/>
              <w:left w:type="dxa" w:w="100"/>
              <w:bottom w:type="dxa" w:w="50"/>
              <w:right w:type="dxa" w:w="100"/>
            </w:tcMar>
          </w:tcPr>
          <w:p>
            <w:pPr>
              <w:jc w:val="center"/>
            </w:pPr>
            <w:r>
              <w:rPr>
                <w:rFonts w:ascii="Calibri" w:cs="Calibri" w:eastAsia="Calibri" w:hAnsi="Calibri"/>
                <w:color w:val="222222"/>
                <w:sz w:val="20"/>
                <w:szCs w:val="20"/>
              </w:rPr>
              <w:t xml:space="preserve">Small</w:t>
            </w:r>
          </w:p>
        </w:tc>
      </w:tr>
      <w:tr>
        <w:tc>
          <w:tcPr>
            <w:tcW w:type="dxa" w:w="3400"/>
            <w:shd w:fill="F2F5F8" w:val="clear"/>
            <w:tcMar>
              <w:top w:type="dxa" w:w="50"/>
              <w:left w:type="dxa" w:w="100"/>
              <w:bottom w:type="dxa" w:w="50"/>
              <w:right w:type="dxa" w:w="100"/>
            </w:tcMar>
          </w:tcPr>
          <w:p>
            <w:pPr>
              <w:jc w:val="left"/>
            </w:pPr>
            <w:r>
              <w:rPr>
                <w:rFonts w:ascii="Calibri" w:cs="Calibri" w:eastAsia="Calibri" w:hAnsi="Calibri"/>
                <w:color w:val="222222"/>
                <w:sz w:val="20"/>
                <w:szCs w:val="20"/>
              </w:rPr>
              <w:t xml:space="preserve">totalcharges</w:t>
            </w:r>
          </w:p>
        </w:tc>
        <w:tc>
          <w:tcPr>
            <w:tcW w:type="dxa" w:w="1700"/>
            <w:shd w:fill="F2F5F8" w:val="clear"/>
            <w:tcMar>
              <w:top w:type="dxa" w:w="50"/>
              <w:left w:type="dxa" w:w="100"/>
              <w:bottom w:type="dxa" w:w="50"/>
              <w:right w:type="dxa" w:w="100"/>
            </w:tcMar>
          </w:tcPr>
          <w:p>
            <w:pPr>
              <w:jc w:val="center"/>
            </w:pPr>
            <w:r>
              <w:rPr>
                <w:rFonts w:ascii="Calibri" w:cs="Calibri" w:eastAsia="Calibri" w:hAnsi="Calibri"/>
                <w:color w:val="222222"/>
                <w:sz w:val="20"/>
                <w:szCs w:val="20"/>
              </w:rPr>
              <w:t xml:space="preserve">1,847</w:t>
            </w:r>
          </w:p>
        </w:tc>
        <w:tc>
          <w:tcPr>
            <w:tcW w:type="dxa" w:w="1700"/>
            <w:shd w:fill="F2F5F8" w:val="clear"/>
            <w:tcMar>
              <w:top w:type="dxa" w:w="50"/>
              <w:left w:type="dxa" w:w="100"/>
              <w:bottom w:type="dxa" w:w="50"/>
              <w:right w:type="dxa" w:w="100"/>
            </w:tcMar>
          </w:tcPr>
          <w:p>
            <w:pPr>
              <w:jc w:val="center"/>
            </w:pPr>
            <w:r>
              <w:rPr>
                <w:rFonts w:ascii="Calibri" w:cs="Calibri" w:eastAsia="Calibri" w:hAnsi="Calibri"/>
                <w:color w:val="222222"/>
                <w:sz w:val="20"/>
                <w:szCs w:val="20"/>
              </w:rPr>
              <w:t xml:space="preserve">1,748</w:t>
            </w:r>
          </w:p>
        </w:tc>
        <w:tc>
          <w:tcPr>
            <w:tcW w:type="dxa" w:w="1500"/>
            <w:shd w:fill="F2F5F8" w:val="clear"/>
            <w:tcMar>
              <w:top w:type="dxa" w:w="50"/>
              <w:left w:type="dxa" w:w="100"/>
              <w:bottom w:type="dxa" w:w="50"/>
              <w:right w:type="dxa" w:w="100"/>
            </w:tcMar>
          </w:tcPr>
          <w:p>
            <w:pPr>
              <w:jc w:val="center"/>
            </w:pPr>
            <w:r>
              <w:rPr>
                <w:rFonts w:ascii="Calibri" w:cs="Calibri" w:eastAsia="Calibri" w:hAnsi="Calibri"/>
                <w:color w:val="222222"/>
                <w:sz w:val="20"/>
                <w:szCs w:val="20"/>
              </w:rPr>
              <w:t xml:space="preserve">0.056</w:t>
            </w:r>
          </w:p>
        </w:tc>
        <w:tc>
          <w:tcPr>
            <w:tcW w:type="dxa" w:w="1700"/>
            <w:shd w:fill="F2F5F8" w:val="clear"/>
            <w:tcMar>
              <w:top w:type="dxa" w:w="50"/>
              <w:left w:type="dxa" w:w="100"/>
              <w:bottom w:type="dxa" w:w="50"/>
              <w:right w:type="dxa" w:w="100"/>
            </w:tcMar>
          </w:tcPr>
          <w:p>
            <w:pPr>
              <w:jc w:val="center"/>
            </w:pPr>
            <w:r>
              <w:rPr>
                <w:rFonts w:ascii="Calibri" w:cs="Calibri" w:eastAsia="Calibri" w:hAnsi="Calibri"/>
                <w:color w:val="222222"/>
                <w:sz w:val="20"/>
                <w:szCs w:val="20"/>
              </w:rPr>
              <w:t xml:space="preserve">Negligible</w:t>
            </w:r>
          </w:p>
        </w:tc>
      </w:tr>
      <w:tr>
        <w:tc>
          <w:tcPr>
            <w:tcW w:type="dxa" w:w="3400"/>
            <w:tcMar>
              <w:top w:type="dxa" w:w="50"/>
              <w:left w:type="dxa" w:w="100"/>
              <w:bottom w:type="dxa" w:w="50"/>
              <w:right w:type="dxa" w:w="100"/>
            </w:tcMar>
          </w:tcPr>
          <w:p>
            <w:pPr>
              <w:jc w:val="left"/>
            </w:pPr>
            <w:r>
              <w:rPr>
                <w:rFonts w:ascii="Calibri" w:cs="Calibri" w:eastAsia="Calibri" w:hAnsi="Calibri"/>
                <w:color w:val="222222"/>
                <w:sz w:val="20"/>
                <w:szCs w:val="20"/>
              </w:rPr>
              <w:t xml:space="preserve">monthlycharges</w:t>
            </w:r>
          </w:p>
        </w:tc>
        <w:tc>
          <w:tcPr>
            <w:tcW w:type="dxa" w:w="1700"/>
            <w:tcMar>
              <w:top w:type="dxa" w:w="50"/>
              <w:left w:type="dxa" w:w="100"/>
              <w:bottom w:type="dxa" w:w="50"/>
              <w:right w:type="dxa" w:w="100"/>
            </w:tcMar>
          </w:tcPr>
          <w:p>
            <w:pPr>
              <w:jc w:val="center"/>
            </w:pPr>
            <w:r>
              <w:rPr>
                <w:rFonts w:ascii="Calibri" w:cs="Calibri" w:eastAsia="Calibri" w:hAnsi="Calibri"/>
                <w:color w:val="222222"/>
                <w:sz w:val="20"/>
                <w:szCs w:val="20"/>
              </w:rPr>
              <w:t xml:space="preserve">86.57</w:t>
            </w:r>
          </w:p>
        </w:tc>
        <w:tc>
          <w:tcPr>
            <w:tcW w:type="dxa" w:w="1700"/>
            <w:tcMar>
              <w:top w:type="dxa" w:w="50"/>
              <w:left w:type="dxa" w:w="100"/>
              <w:bottom w:type="dxa" w:w="50"/>
              <w:right w:type="dxa" w:w="100"/>
            </w:tcMar>
          </w:tcPr>
          <w:p>
            <w:pPr>
              <w:jc w:val="center"/>
            </w:pPr>
            <w:r>
              <w:rPr>
                <w:rFonts w:ascii="Calibri" w:cs="Calibri" w:eastAsia="Calibri" w:hAnsi="Calibri"/>
                <w:color w:val="222222"/>
                <w:sz w:val="20"/>
                <w:szCs w:val="20"/>
              </w:rPr>
              <w:t xml:space="preserve">85.29</w:t>
            </w:r>
          </w:p>
        </w:tc>
        <w:tc>
          <w:tcPr>
            <w:tcW w:type="dxa" w:w="1500"/>
            <w:tcMar>
              <w:top w:type="dxa" w:w="50"/>
              <w:left w:type="dxa" w:w="100"/>
              <w:bottom w:type="dxa" w:w="50"/>
              <w:right w:type="dxa" w:w="100"/>
            </w:tcMar>
          </w:tcPr>
          <w:p>
            <w:pPr>
              <w:jc w:val="center"/>
            </w:pPr>
            <w:r>
              <w:rPr>
                <w:rFonts w:ascii="Calibri" w:cs="Calibri" w:eastAsia="Calibri" w:hAnsi="Calibri"/>
                <w:color w:val="222222"/>
                <w:sz w:val="20"/>
                <w:szCs w:val="20"/>
              </w:rPr>
              <w:t xml:space="preserve">0.046</w:t>
            </w:r>
          </w:p>
        </w:tc>
        <w:tc>
          <w:tcPr>
            <w:tcW w:type="dxa" w:w="1700"/>
            <w:tcMar>
              <w:top w:type="dxa" w:w="50"/>
              <w:left w:type="dxa" w:w="100"/>
              <w:bottom w:type="dxa" w:w="50"/>
              <w:right w:type="dxa" w:w="100"/>
            </w:tcMar>
          </w:tcPr>
          <w:p>
            <w:pPr>
              <w:jc w:val="center"/>
            </w:pPr>
            <w:r>
              <w:rPr>
                <w:rFonts w:ascii="Calibri" w:cs="Calibri" w:eastAsia="Calibri" w:hAnsi="Calibri"/>
                <w:color w:val="222222"/>
                <w:sz w:val="20"/>
                <w:szCs w:val="20"/>
              </w:rPr>
              <w:t xml:space="preserve">Negligible</w:t>
            </w:r>
          </w:p>
        </w:tc>
      </w:tr>
      <w:tr>
        <w:tc>
          <w:tcPr>
            <w:tcW w:type="dxa" w:w="3400"/>
            <w:shd w:fill="F2F5F8" w:val="clear"/>
            <w:tcMar>
              <w:top w:type="dxa" w:w="50"/>
              <w:left w:type="dxa" w:w="100"/>
              <w:bottom w:type="dxa" w:w="50"/>
              <w:right w:type="dxa" w:w="100"/>
            </w:tcMar>
          </w:tcPr>
          <w:p>
            <w:pPr>
              <w:jc w:val="left"/>
            </w:pPr>
            <w:r>
              <w:rPr>
                <w:rFonts w:ascii="Calibri" w:cs="Calibri" w:eastAsia="Calibri" w:hAnsi="Calibri"/>
                <w:color w:val="222222"/>
                <w:sz w:val="20"/>
                <w:szCs w:val="20"/>
              </w:rPr>
              <w:t xml:space="preserve">tenure</w:t>
            </w:r>
          </w:p>
        </w:tc>
        <w:tc>
          <w:tcPr>
            <w:tcW w:type="dxa" w:w="1700"/>
            <w:shd w:fill="F2F5F8" w:val="clear"/>
            <w:tcMar>
              <w:top w:type="dxa" w:w="50"/>
              <w:left w:type="dxa" w:w="100"/>
              <w:bottom w:type="dxa" w:w="50"/>
              <w:right w:type="dxa" w:w="100"/>
            </w:tcMar>
          </w:tcPr>
          <w:p>
            <w:pPr>
              <w:jc w:val="center"/>
            </w:pPr>
            <w:r>
              <w:rPr>
                <w:rFonts w:ascii="Calibri" w:cs="Calibri" w:eastAsia="Calibri" w:hAnsi="Calibri"/>
                <w:color w:val="222222"/>
                <w:sz w:val="20"/>
                <w:szCs w:val="20"/>
              </w:rPr>
              <w:t xml:space="preserve">22.5</w:t>
            </w:r>
          </w:p>
        </w:tc>
        <w:tc>
          <w:tcPr>
            <w:tcW w:type="dxa" w:w="1700"/>
            <w:shd w:fill="F2F5F8" w:val="clear"/>
            <w:tcMar>
              <w:top w:type="dxa" w:w="50"/>
              <w:left w:type="dxa" w:w="100"/>
              <w:bottom w:type="dxa" w:w="50"/>
              <w:right w:type="dxa" w:w="100"/>
            </w:tcMar>
          </w:tcPr>
          <w:p>
            <w:pPr>
              <w:jc w:val="center"/>
            </w:pPr>
            <w:r>
              <w:rPr>
                <w:rFonts w:ascii="Calibri" w:cs="Calibri" w:eastAsia="Calibri" w:hAnsi="Calibri"/>
                <w:color w:val="222222"/>
                <w:sz w:val="20"/>
                <w:szCs w:val="20"/>
              </w:rPr>
              <w:t xml:space="preserve">21.6</w:t>
            </w:r>
          </w:p>
        </w:tc>
        <w:tc>
          <w:tcPr>
            <w:tcW w:type="dxa" w:w="1500"/>
            <w:shd w:fill="F2F5F8" w:val="clear"/>
            <w:tcMar>
              <w:top w:type="dxa" w:w="50"/>
              <w:left w:type="dxa" w:w="100"/>
              <w:bottom w:type="dxa" w:w="50"/>
              <w:right w:type="dxa" w:w="100"/>
            </w:tcMar>
          </w:tcPr>
          <w:p>
            <w:pPr>
              <w:jc w:val="center"/>
            </w:pPr>
            <w:r>
              <w:rPr>
                <w:rFonts w:ascii="Calibri" w:cs="Calibri" w:eastAsia="Calibri" w:hAnsi="Calibri"/>
                <w:color w:val="222222"/>
                <w:sz w:val="20"/>
                <w:szCs w:val="20"/>
              </w:rPr>
              <w:t xml:space="preserve">0.043</w:t>
            </w:r>
          </w:p>
        </w:tc>
        <w:tc>
          <w:tcPr>
            <w:tcW w:type="dxa" w:w="1700"/>
            <w:shd w:fill="F2F5F8" w:val="clear"/>
            <w:tcMar>
              <w:top w:type="dxa" w:w="50"/>
              <w:left w:type="dxa" w:w="100"/>
              <w:bottom w:type="dxa" w:w="50"/>
              <w:right w:type="dxa" w:w="100"/>
            </w:tcMar>
          </w:tcPr>
          <w:p>
            <w:pPr>
              <w:jc w:val="center"/>
            </w:pPr>
            <w:r>
              <w:rPr>
                <w:rFonts w:ascii="Calibri" w:cs="Calibri" w:eastAsia="Calibri" w:hAnsi="Calibri"/>
                <w:color w:val="222222"/>
                <w:sz w:val="20"/>
                <w:szCs w:val="20"/>
              </w:rPr>
              <w:t xml:space="preserve">Negligible</w:t>
            </w:r>
          </w:p>
        </w:tc>
      </w:tr>
      <w:tr>
        <w:tc>
          <w:tcPr>
            <w:tcW w:type="dxa" w:w="3400"/>
            <w:tcMar>
              <w:top w:type="dxa" w:w="50"/>
              <w:left w:type="dxa" w:w="100"/>
              <w:bottom w:type="dxa" w:w="50"/>
              <w:right w:type="dxa" w:w="100"/>
            </w:tcMar>
          </w:tcPr>
          <w:p>
            <w:pPr>
              <w:jc w:val="left"/>
            </w:pPr>
            <w:r>
              <w:rPr>
                <w:rFonts w:ascii="Calibri" w:cs="Calibri" w:eastAsia="Calibri" w:hAnsi="Calibri"/>
                <w:color w:val="222222"/>
                <w:sz w:val="20"/>
                <w:szCs w:val="20"/>
              </w:rPr>
              <w:t xml:space="preserve">annual_income / age / credit_score / others</w:t>
            </w:r>
          </w:p>
        </w:tc>
        <w:tc>
          <w:tcPr>
            <w:tcW w:type="dxa" w:w="1700"/>
            <w:tcMar>
              <w:top w:type="dxa" w:w="50"/>
              <w:left w:type="dxa" w:w="100"/>
              <w:bottom w:type="dxa" w:w="50"/>
              <w:right w:type="dxa" w:w="100"/>
            </w:tcMar>
          </w:tcPr>
          <w:p>
            <w:pPr>
              <w:jc w:val="center"/>
            </w:pPr>
            <w:r>
              <w:rPr>
                <w:rFonts w:ascii="Calibri" w:cs="Calibri" w:eastAsia="Calibri" w:hAnsi="Calibri"/>
                <w:color w:val="222222"/>
                <w:sz w:val="20"/>
                <w:szCs w:val="20"/>
              </w:rPr>
              <w:t xml:space="preserve">—</w:t>
            </w:r>
          </w:p>
        </w:tc>
        <w:tc>
          <w:tcPr>
            <w:tcW w:type="dxa" w:w="1700"/>
            <w:tcMar>
              <w:top w:type="dxa" w:w="50"/>
              <w:left w:type="dxa" w:w="100"/>
              <w:bottom w:type="dxa" w:w="50"/>
              <w:right w:type="dxa" w:w="100"/>
            </w:tcMar>
          </w:tcPr>
          <w:p>
            <w:pPr>
              <w:jc w:val="center"/>
            </w:pPr>
            <w:r>
              <w:rPr>
                <w:rFonts w:ascii="Calibri" w:cs="Calibri" w:eastAsia="Calibri" w:hAnsi="Calibri"/>
                <w:color w:val="222222"/>
                <w:sz w:val="20"/>
                <w:szCs w:val="20"/>
              </w:rPr>
              <w:t xml:space="preserve">—</w:t>
            </w:r>
          </w:p>
        </w:tc>
        <w:tc>
          <w:tcPr>
            <w:tcW w:type="dxa" w:w="1500"/>
            <w:tcMar>
              <w:top w:type="dxa" w:w="50"/>
              <w:left w:type="dxa" w:w="100"/>
              <w:bottom w:type="dxa" w:w="50"/>
              <w:right w:type="dxa" w:w="100"/>
            </w:tcMar>
          </w:tcPr>
          <w:p>
            <w:pPr>
              <w:jc w:val="center"/>
            </w:pPr>
            <w:r>
              <w:rPr>
                <w:rFonts w:ascii="Calibri" w:cs="Calibri" w:eastAsia="Calibri" w:hAnsi="Calibri"/>
                <w:color w:val="222222"/>
                <w:sz w:val="20"/>
                <w:szCs w:val="20"/>
              </w:rPr>
              <w:t xml:space="preserve">&lt; 0.02</w:t>
            </w:r>
          </w:p>
        </w:tc>
        <w:tc>
          <w:tcPr>
            <w:tcW w:type="dxa" w:w="1700"/>
            <w:tcMar>
              <w:top w:type="dxa" w:w="50"/>
              <w:left w:type="dxa" w:w="100"/>
              <w:bottom w:type="dxa" w:w="50"/>
              <w:right w:type="dxa" w:w="100"/>
            </w:tcMar>
          </w:tcPr>
          <w:p>
            <w:pPr>
              <w:jc w:val="center"/>
            </w:pPr>
            <w:r>
              <w:rPr>
                <w:rFonts w:ascii="Calibri" w:cs="Calibri" w:eastAsia="Calibri" w:hAnsi="Calibri"/>
                <w:color w:val="222222"/>
                <w:sz w:val="20"/>
                <w:szCs w:val="20"/>
              </w:rPr>
              <w:t xml:space="preserve">Negligible</w:t>
            </w:r>
          </w:p>
        </w:tc>
      </w:tr>
    </w:tbl>
    <w:p>
      <w:pPr>
        <w:spacing w:after="120"/>
      </w:pPr>
    </w:p>
    <w:p>
      <w:pPr>
        <w:spacing w:after="160" w:line="276"/>
        <w:jc w:val="both"/>
      </w:pPr>
      <w:r>
        <w:rPr>
          <w:rFonts w:ascii="Calibri" w:cs="Calibri" w:eastAsia="Calibri" w:hAnsi="Calibri"/>
          <w:sz w:val="22"/>
          <w:szCs w:val="22"/>
        </w:rPr>
        <w:t xml:space="preserve">The behavioral cluster — satisfaction, complaints, service calls, and late payments — carries the clearest individual signal (all p &lt; 1e-250). No single numeric feature is strongly separating on its own, which foreshadows the moderate model performance: churn in this dataset is driven by the accumulation of many weak signals plus contract type, rather than by one dominant continuous variable.</w:t>
      </w:r>
    </w:p>
    <w:p>
      <w:pPr>
        <w:pStyle w:val="Heading2"/>
        <w:spacing w:after="120" w:before="240"/>
      </w:pPr>
      <w:r>
        <w:rPr>
          <w:b/>
          <w:bCs/>
          <w:color w:val="1F3B57"/>
        </w:rPr>
        <w:t xml:space="preserve">3.3 Categorical drivers</w:t>
      </w:r>
    </w:p>
    <w:p>
      <w:pPr>
        <w:spacing w:after="160" w:line="276"/>
        <w:jc w:val="both"/>
      </w:pPr>
      <w:r>
        <w:rPr>
          <w:rFonts w:ascii="Calibri" w:cs="Calibri" w:eastAsia="Calibri" w:hAnsi="Calibri"/>
          <w:sz w:val="22"/>
          <w:szCs w:val="22"/>
        </w:rPr>
        <w:t xml:space="preserve">Among categorical features, contract type is by far the strongest association with churn (chi-squared 19,508, Cramér’s V = 0.14); every other categorical feature — education, marital status, payment method, paperless billing, gender, senior citizen — shows a Cramér’s V at or below 0.002, i.e., effectively no marginal association at this sample size.</w:t>
      </w:r>
    </w:p>
    <w:p>
      <w:pPr>
        <w:spacing w:after="60" w:before="120"/>
        <w:jc w:val="center"/>
      </w:pPr>
      <w:r>
        <w:drawing>
          <wp:inline distT="0" distB="0" distL="0" distR="0">
            <wp:extent cx="4953000" cy="2828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953000" cy="2828925"/>
                    </a:xfrm>
                    <a:prstGeom prst="rect">
                      <a:avLst/>
                    </a:prstGeom>
                  </pic:spPr>
                </pic:pic>
              </a:graphicData>
            </a:graphic>
          </wp:inline>
        </w:drawing>
      </w:r>
    </w:p>
    <w:p>
      <w:pPr>
        <w:spacing w:after="200"/>
        <w:jc w:val="center"/>
      </w:pPr>
      <w:r>
        <w:rPr>
          <w:rFonts w:ascii="Calibri" w:cs="Calibri" w:eastAsia="Calibri" w:hAnsi="Calibri"/>
          <w:i/>
          <w:iCs/>
          <w:color w:val="667085"/>
          <w:sz w:val="18"/>
          <w:szCs w:val="18"/>
        </w:rPr>
        <w:t xml:space="preserve">Figure 1. Churn rate by contract type (verified directly against the source data).</w:t>
      </w:r>
    </w:p>
    <w:p>
      <w:pPr>
        <w:spacing w:after="160" w:line="276"/>
        <w:jc w:val="both"/>
      </w:pPr>
      <w:r>
        <w:rPr>
          <w:rFonts w:ascii="Calibri" w:cs="Calibri" w:eastAsia="Calibri" w:hAnsi="Calibri"/>
          <w:sz w:val="22"/>
          <w:szCs w:val="22"/>
        </w:rPr>
        <w:t xml:space="preserve">Note: the notebook’s narrative commentary describes senior_citizen, paperless_billing, and payment_method as moderate churn drivers, but the notebook’s own chi-squared output (above) does not support this — their associations are negligible. This report follows the computed results. Interaction heatmaps (contract × senior citizen, contract × tenure) confirm that contract type dominates: month-to-month customers with under six months of tenure are the highest-risk segment, while two-year contract holders churn at consistently low rates regardless of tenure or age.</w:t>
      </w:r>
    </w:p>
    <w:p>
      <w:pPr>
        <w:pStyle w:val="Heading2"/>
        <w:spacing w:after="120" w:before="240"/>
      </w:pPr>
      <w:r>
        <w:rPr>
          <w:b/>
          <w:bCs/>
          <w:color w:val="1F3B57"/>
        </w:rPr>
        <w:t xml:space="preserve">3.4 Multicollinearity</w:t>
      </w:r>
    </w:p>
    <w:p>
      <w:pPr>
        <w:spacing w:after="160" w:line="276"/>
        <w:jc w:val="both"/>
      </w:pPr>
      <w:r>
        <w:rPr>
          <w:rFonts w:ascii="Calibri" w:cs="Calibri" w:eastAsia="Calibri" w:hAnsi="Calibri"/>
          <w:sz w:val="22"/>
          <w:szCs w:val="22"/>
        </w:rPr>
        <w:t xml:space="preserve">totalcharges, monthlycharges, and tenure form a collinear triplet (r ≈ 0.83–0.85), as totalcharges is essentially the product of the other two. totalcharges was dropped prior to modeling to stabilize the linear baseline and simplify interpretation.</w:t>
      </w:r>
    </w:p>
    <w:p>
      <w:pPr>
        <w:pStyle w:val="Heading1"/>
        <w:spacing w:after="160" w:before="320"/>
      </w:pPr>
      <w:r>
        <w:rPr>
          <w:b/>
          <w:bCs/>
          <w:color w:val="1F3B57"/>
        </w:rPr>
        <w:t xml:space="preserve">4. Modeling Methodology</w:t>
      </w:r>
    </w:p>
    <w:p>
      <w:pPr>
        <w:pStyle w:val="Heading2"/>
        <w:spacing w:after="120" w:before="240"/>
      </w:pPr>
      <w:r>
        <w:rPr>
          <w:b/>
          <w:bCs/>
          <w:color w:val="1F3B57"/>
        </w:rPr>
        <w:t xml:space="preserve">4.1 Feature engineering and split</w:t>
      </w:r>
    </w:p>
    <w:p>
      <w:pPr>
        <w:spacing w:after="160" w:line="276"/>
        <w:jc w:val="both"/>
      </w:pPr>
      <w:r>
        <w:rPr>
          <w:rFonts w:ascii="Calibri" w:cs="Calibri" w:eastAsia="Calibri" w:hAnsi="Calibri"/>
          <w:sz w:val="22"/>
          <w:szCs w:val="22"/>
        </w:rPr>
        <w:t xml:space="preserve">The final feature matrix contained 34 features after dropping customer_id (identifier), signup_date (redundant with tenure), and totalcharges (collinear). Education was ordinal-encoded on its natural five-level order; gender, marital status, contract, payment method, and paperless billing were one-hot encoded with k−1 dummies. The data was split 80/20 (800,000 train / 200,000 test) with stratification on the target, preserving the 9.92% churn rate in both sets.</w:t>
      </w:r>
    </w:p>
    <w:p>
      <w:pPr>
        <w:pStyle w:val="Heading2"/>
        <w:spacing w:after="120" w:before="240"/>
      </w:pPr>
      <w:r>
        <w:rPr>
          <w:b/>
          <w:bCs/>
          <w:color w:val="1F3B57"/>
        </w:rPr>
        <w:t xml:space="preserve">4.2 Models and imbalance handling</w:t>
      </w:r>
    </w:p>
    <w:p>
      <w:pPr>
        <w:spacing w:after="160" w:line="276"/>
        <w:jc w:val="both"/>
      </w:pPr>
      <w:r>
        <w:rPr>
          <w:rFonts w:ascii="Calibri" w:cs="Calibri" w:eastAsia="Calibri" w:hAnsi="Calibri"/>
          <w:sz w:val="22"/>
          <w:szCs w:val="22"/>
        </w:rPr>
        <w:t xml:space="preserve">Four classifiers of increasing complexity were trained: logistic regression (scaled features, class_weight balanced) as an interpretable baseline; random forest (max_depth 15); and two gradient-boosting models, XGBoost and LightGBM (learning rate 0.05, 300 estimators, scale_pos_weight 9). The class weighting and scale_pos_weight settings counteract the 9:1 imbalance by up-weighting the minority churn class. Evaluation deliberately avoided raw accuracy — a model that always predicts "no churn" would score 90% — in favor of ROC-AUC, PR-AUC, precision, recall, and F1 on the held-out test set.</w:t>
      </w:r>
    </w:p>
    <w:p>
      <w:pPr>
        <w:pStyle w:val="Heading1"/>
        <w:spacing w:after="160" w:before="320"/>
      </w:pPr>
      <w:r>
        <w:rPr>
          <w:b/>
          <w:bCs/>
          <w:color w:val="1F3B57"/>
        </w:rPr>
        <w:t xml:space="preserve">5. Model Performance</w:t>
      </w:r>
    </w:p>
    <w:tbl>
      <w:tblPr>
        <w:tblW w:type="dxa" w:w="9950"/>
        <w:tblBorders>
          <w:top w:val="single" w:color="auto" w:sz="4"/>
          <w:left w:val="single" w:color="auto" w:sz="4"/>
          <w:bottom w:val="single" w:color="auto" w:sz="4"/>
          <w:right w:val="single" w:color="auto" w:sz="4"/>
          <w:insideH w:val="single" w:color="auto" w:sz="4"/>
          <w:insideV w:val="single" w:color="auto" w:sz="4"/>
        </w:tblBorders>
      </w:tblPr>
      <w:tblGrid>
        <w:gridCol w:w="3000"/>
        <w:gridCol w:w="1450"/>
        <w:gridCol w:w="1450"/>
        <w:gridCol w:w="1450"/>
        <w:gridCol w:w="1300"/>
        <w:gridCol w:w="1300"/>
      </w:tblGrid>
      <w:tr>
        <w:trPr>
          <w:tblHeader/>
        </w:trPr>
        <w:tc>
          <w:tcPr>
            <w:tcW w:type="dxa" w:w="3000"/>
            <w:shd w:fill="1F3B57" w:val="clear"/>
            <w:tcMar>
              <w:top w:type="dxa" w:w="60"/>
              <w:left w:type="dxa" w:w="100"/>
              <w:bottom w:type="dxa" w:w="60"/>
              <w:right w:type="dxa" w:w="100"/>
            </w:tcMar>
          </w:tcPr>
          <w:p>
            <w:pPr>
              <w:jc w:val="left"/>
            </w:pPr>
            <w:r>
              <w:rPr>
                <w:rFonts w:ascii="Calibri" w:cs="Calibri" w:eastAsia="Calibri" w:hAnsi="Calibri"/>
                <w:b/>
                <w:bCs/>
                <w:color w:val="FFFFFF"/>
                <w:sz w:val="20"/>
                <w:szCs w:val="20"/>
              </w:rPr>
              <w:t xml:space="preserve">Model</w:t>
            </w:r>
          </w:p>
        </w:tc>
        <w:tc>
          <w:tcPr>
            <w:tcW w:type="dxa" w:w="1450"/>
            <w:shd w:fill="1F3B57" w:val="clear"/>
            <w:tcMar>
              <w:top w:type="dxa" w:w="60"/>
              <w:left w:type="dxa" w:w="100"/>
              <w:bottom w:type="dxa" w:w="60"/>
              <w:right w:type="dxa" w:w="100"/>
            </w:tcMar>
          </w:tcPr>
          <w:p>
            <w:pPr>
              <w:jc w:val="center"/>
            </w:pPr>
            <w:r>
              <w:rPr>
                <w:rFonts w:ascii="Calibri" w:cs="Calibri" w:eastAsia="Calibri" w:hAnsi="Calibri"/>
                <w:b/>
                <w:bCs/>
                <w:color w:val="FFFFFF"/>
                <w:sz w:val="20"/>
                <w:szCs w:val="20"/>
              </w:rPr>
              <w:t xml:space="preserve">ROC-AUC</w:t>
            </w:r>
          </w:p>
        </w:tc>
        <w:tc>
          <w:tcPr>
            <w:tcW w:type="dxa" w:w="1450"/>
            <w:shd w:fill="1F3B57" w:val="clear"/>
            <w:tcMar>
              <w:top w:type="dxa" w:w="60"/>
              <w:left w:type="dxa" w:w="100"/>
              <w:bottom w:type="dxa" w:w="60"/>
              <w:right w:type="dxa" w:w="100"/>
            </w:tcMar>
          </w:tcPr>
          <w:p>
            <w:pPr>
              <w:jc w:val="center"/>
            </w:pPr>
            <w:r>
              <w:rPr>
                <w:rFonts w:ascii="Calibri" w:cs="Calibri" w:eastAsia="Calibri" w:hAnsi="Calibri"/>
                <w:b/>
                <w:bCs/>
                <w:color w:val="FFFFFF"/>
                <w:sz w:val="20"/>
                <w:szCs w:val="20"/>
              </w:rPr>
              <w:t xml:space="preserve">PR-AUC</w:t>
            </w:r>
          </w:p>
        </w:tc>
        <w:tc>
          <w:tcPr>
            <w:tcW w:type="dxa" w:w="1450"/>
            <w:shd w:fill="1F3B57" w:val="clear"/>
            <w:tcMar>
              <w:top w:type="dxa" w:w="60"/>
              <w:left w:type="dxa" w:w="100"/>
              <w:bottom w:type="dxa" w:w="60"/>
              <w:right w:type="dxa" w:w="100"/>
            </w:tcMar>
          </w:tcPr>
          <w:p>
            <w:pPr>
              <w:jc w:val="center"/>
            </w:pPr>
            <w:r>
              <w:rPr>
                <w:rFonts w:ascii="Calibri" w:cs="Calibri" w:eastAsia="Calibri" w:hAnsi="Calibri"/>
                <w:b/>
                <w:bCs/>
                <w:color w:val="FFFFFF"/>
                <w:sz w:val="20"/>
                <w:szCs w:val="20"/>
              </w:rPr>
              <w:t xml:space="preserve">Precision</w:t>
            </w:r>
          </w:p>
        </w:tc>
        <w:tc>
          <w:tcPr>
            <w:tcW w:type="dxa" w:w="1300"/>
            <w:shd w:fill="1F3B57" w:val="clear"/>
            <w:tcMar>
              <w:top w:type="dxa" w:w="60"/>
              <w:left w:type="dxa" w:w="100"/>
              <w:bottom w:type="dxa" w:w="60"/>
              <w:right w:type="dxa" w:w="100"/>
            </w:tcMar>
          </w:tcPr>
          <w:p>
            <w:pPr>
              <w:jc w:val="center"/>
            </w:pPr>
            <w:r>
              <w:rPr>
                <w:rFonts w:ascii="Calibri" w:cs="Calibri" w:eastAsia="Calibri" w:hAnsi="Calibri"/>
                <w:b/>
                <w:bCs/>
                <w:color w:val="FFFFFF"/>
                <w:sz w:val="20"/>
                <w:szCs w:val="20"/>
              </w:rPr>
              <w:t xml:space="preserve">Recall</w:t>
            </w:r>
          </w:p>
        </w:tc>
        <w:tc>
          <w:tcPr>
            <w:tcW w:type="dxa" w:w="1300"/>
            <w:shd w:fill="1F3B57" w:val="clear"/>
            <w:tcMar>
              <w:top w:type="dxa" w:w="60"/>
              <w:left w:type="dxa" w:w="100"/>
              <w:bottom w:type="dxa" w:w="60"/>
              <w:right w:type="dxa" w:w="100"/>
            </w:tcMar>
          </w:tcPr>
          <w:p>
            <w:pPr>
              <w:jc w:val="center"/>
            </w:pPr>
            <w:r>
              <w:rPr>
                <w:rFonts w:ascii="Calibri" w:cs="Calibri" w:eastAsia="Calibri" w:hAnsi="Calibri"/>
                <w:b/>
                <w:bCs/>
                <w:color w:val="FFFFFF"/>
                <w:sz w:val="20"/>
                <w:szCs w:val="20"/>
              </w:rPr>
              <w:t xml:space="preserve">F1</w:t>
            </w:r>
          </w:p>
        </w:tc>
      </w:tr>
      <w:tr>
        <w:tc>
          <w:tcPr>
            <w:tcW w:type="dxa" w:w="3000"/>
            <w:tcMar>
              <w:top w:type="dxa" w:w="50"/>
              <w:left w:type="dxa" w:w="100"/>
              <w:bottom w:type="dxa" w:w="50"/>
              <w:right w:type="dxa" w:w="100"/>
            </w:tcMar>
          </w:tcPr>
          <w:p>
            <w:pPr>
              <w:jc w:val="left"/>
            </w:pPr>
            <w:r>
              <w:rPr>
                <w:rFonts w:ascii="Calibri" w:cs="Calibri" w:eastAsia="Calibri" w:hAnsi="Calibri"/>
                <w:color w:val="222222"/>
                <w:sz w:val="20"/>
                <w:szCs w:val="20"/>
              </w:rPr>
              <w:t xml:space="preserve">Logistic Regression</w:t>
            </w:r>
          </w:p>
        </w:tc>
        <w:tc>
          <w:tcPr>
            <w:tcW w:type="dxa" w:w="1450"/>
            <w:tcMar>
              <w:top w:type="dxa" w:w="50"/>
              <w:left w:type="dxa" w:w="100"/>
              <w:bottom w:type="dxa" w:w="50"/>
              <w:right w:type="dxa" w:w="100"/>
            </w:tcMar>
          </w:tcPr>
          <w:p>
            <w:pPr>
              <w:jc w:val="center"/>
            </w:pPr>
            <w:r>
              <w:rPr>
                <w:rFonts w:ascii="Calibri" w:cs="Calibri" w:eastAsia="Calibri" w:hAnsi="Calibri"/>
                <w:color w:val="222222"/>
                <w:sz w:val="20"/>
                <w:szCs w:val="20"/>
              </w:rPr>
              <w:t xml:space="preserve">0.6849</w:t>
            </w:r>
          </w:p>
        </w:tc>
        <w:tc>
          <w:tcPr>
            <w:tcW w:type="dxa" w:w="1450"/>
            <w:tcMar>
              <w:top w:type="dxa" w:w="50"/>
              <w:left w:type="dxa" w:w="100"/>
              <w:bottom w:type="dxa" w:w="50"/>
              <w:right w:type="dxa" w:w="100"/>
            </w:tcMar>
          </w:tcPr>
          <w:p>
            <w:pPr>
              <w:jc w:val="center"/>
            </w:pPr>
            <w:r>
              <w:rPr>
                <w:rFonts w:ascii="Calibri" w:cs="Calibri" w:eastAsia="Calibri" w:hAnsi="Calibri"/>
                <w:color w:val="222222"/>
                <w:sz w:val="20"/>
                <w:szCs w:val="20"/>
              </w:rPr>
              <w:t xml:space="preserve">0.2028</w:t>
            </w:r>
          </w:p>
        </w:tc>
        <w:tc>
          <w:tcPr>
            <w:tcW w:type="dxa" w:w="1450"/>
            <w:tcMar>
              <w:top w:type="dxa" w:w="50"/>
              <w:left w:type="dxa" w:w="100"/>
              <w:bottom w:type="dxa" w:w="50"/>
              <w:right w:type="dxa" w:w="100"/>
            </w:tcMar>
          </w:tcPr>
          <w:p>
            <w:pPr>
              <w:jc w:val="center"/>
            </w:pPr>
            <w:r>
              <w:rPr>
                <w:rFonts w:ascii="Calibri" w:cs="Calibri" w:eastAsia="Calibri" w:hAnsi="Calibri"/>
                <w:color w:val="222222"/>
                <w:sz w:val="20"/>
                <w:szCs w:val="20"/>
              </w:rPr>
              <w:t xml:space="preserve">0.159</w:t>
            </w:r>
          </w:p>
        </w:tc>
        <w:tc>
          <w:tcPr>
            <w:tcW w:type="dxa" w:w="1300"/>
            <w:tcMar>
              <w:top w:type="dxa" w:w="50"/>
              <w:left w:type="dxa" w:w="100"/>
              <w:bottom w:type="dxa" w:w="50"/>
              <w:right w:type="dxa" w:w="100"/>
            </w:tcMar>
          </w:tcPr>
          <w:p>
            <w:pPr>
              <w:jc w:val="center"/>
            </w:pPr>
            <w:r>
              <w:rPr>
                <w:rFonts w:ascii="Calibri" w:cs="Calibri" w:eastAsia="Calibri" w:hAnsi="Calibri"/>
                <w:color w:val="222222"/>
                <w:sz w:val="20"/>
                <w:szCs w:val="20"/>
              </w:rPr>
              <w:t xml:space="preserve">0.639</w:t>
            </w:r>
          </w:p>
        </w:tc>
        <w:tc>
          <w:tcPr>
            <w:tcW w:type="dxa" w:w="1300"/>
            <w:tcMar>
              <w:top w:type="dxa" w:w="50"/>
              <w:left w:type="dxa" w:w="100"/>
              <w:bottom w:type="dxa" w:w="50"/>
              <w:right w:type="dxa" w:w="100"/>
            </w:tcMar>
          </w:tcPr>
          <w:p>
            <w:pPr>
              <w:jc w:val="center"/>
            </w:pPr>
            <w:r>
              <w:rPr>
                <w:rFonts w:ascii="Calibri" w:cs="Calibri" w:eastAsia="Calibri" w:hAnsi="Calibri"/>
                <w:color w:val="222222"/>
                <w:sz w:val="20"/>
                <w:szCs w:val="20"/>
              </w:rPr>
              <w:t xml:space="preserve">0.254</w:t>
            </w:r>
          </w:p>
        </w:tc>
      </w:tr>
      <w:tr>
        <w:tc>
          <w:tcPr>
            <w:tcW w:type="dxa" w:w="3000"/>
            <w:shd w:fill="F2F5F8" w:val="clear"/>
            <w:tcMar>
              <w:top w:type="dxa" w:w="50"/>
              <w:left w:type="dxa" w:w="100"/>
              <w:bottom w:type="dxa" w:w="50"/>
              <w:right w:type="dxa" w:w="100"/>
            </w:tcMar>
          </w:tcPr>
          <w:p>
            <w:pPr>
              <w:jc w:val="left"/>
            </w:pPr>
            <w:r>
              <w:rPr>
                <w:rFonts w:ascii="Calibri" w:cs="Calibri" w:eastAsia="Calibri" w:hAnsi="Calibri"/>
                <w:color w:val="222222"/>
                <w:sz w:val="20"/>
                <w:szCs w:val="20"/>
              </w:rPr>
              <w:t xml:space="preserve">Random Forest</w:t>
            </w:r>
          </w:p>
        </w:tc>
        <w:tc>
          <w:tcPr>
            <w:tcW w:type="dxa" w:w="1450"/>
            <w:shd w:fill="F2F5F8" w:val="clear"/>
            <w:tcMar>
              <w:top w:type="dxa" w:w="50"/>
              <w:left w:type="dxa" w:w="100"/>
              <w:bottom w:type="dxa" w:w="50"/>
              <w:right w:type="dxa" w:w="100"/>
            </w:tcMar>
          </w:tcPr>
          <w:p>
            <w:pPr>
              <w:jc w:val="center"/>
            </w:pPr>
            <w:r>
              <w:rPr>
                <w:rFonts w:ascii="Calibri" w:cs="Calibri" w:eastAsia="Calibri" w:hAnsi="Calibri"/>
                <w:color w:val="222222"/>
                <w:sz w:val="20"/>
                <w:szCs w:val="20"/>
              </w:rPr>
              <w:t xml:space="preserve">0.6683</w:t>
            </w:r>
          </w:p>
        </w:tc>
        <w:tc>
          <w:tcPr>
            <w:tcW w:type="dxa" w:w="1450"/>
            <w:shd w:fill="F2F5F8" w:val="clear"/>
            <w:tcMar>
              <w:top w:type="dxa" w:w="50"/>
              <w:left w:type="dxa" w:w="100"/>
              <w:bottom w:type="dxa" w:w="50"/>
              <w:right w:type="dxa" w:w="100"/>
            </w:tcMar>
          </w:tcPr>
          <w:p>
            <w:pPr>
              <w:jc w:val="center"/>
            </w:pPr>
            <w:r>
              <w:rPr>
                <w:rFonts w:ascii="Calibri" w:cs="Calibri" w:eastAsia="Calibri" w:hAnsi="Calibri"/>
                <w:color w:val="222222"/>
                <w:sz w:val="20"/>
                <w:szCs w:val="20"/>
              </w:rPr>
              <w:t xml:space="preserve">0.1821</w:t>
            </w:r>
          </w:p>
        </w:tc>
        <w:tc>
          <w:tcPr>
            <w:tcW w:type="dxa" w:w="1450"/>
            <w:shd w:fill="F2F5F8" w:val="clear"/>
            <w:tcMar>
              <w:top w:type="dxa" w:w="50"/>
              <w:left w:type="dxa" w:w="100"/>
              <w:bottom w:type="dxa" w:w="50"/>
              <w:right w:type="dxa" w:w="100"/>
            </w:tcMar>
          </w:tcPr>
          <w:p>
            <w:pPr>
              <w:jc w:val="center"/>
            </w:pPr>
            <w:r>
              <w:rPr>
                <w:rFonts w:ascii="Calibri" w:cs="Calibri" w:eastAsia="Calibri" w:hAnsi="Calibri"/>
                <w:color w:val="222222"/>
                <w:sz w:val="20"/>
                <w:szCs w:val="20"/>
              </w:rPr>
              <w:t xml:space="preserve">0.171</w:t>
            </w:r>
          </w:p>
        </w:tc>
        <w:tc>
          <w:tcPr>
            <w:tcW w:type="dxa" w:w="1300"/>
            <w:shd w:fill="F2F5F8" w:val="clear"/>
            <w:tcMar>
              <w:top w:type="dxa" w:w="50"/>
              <w:left w:type="dxa" w:w="100"/>
              <w:bottom w:type="dxa" w:w="50"/>
              <w:right w:type="dxa" w:w="100"/>
            </w:tcMar>
          </w:tcPr>
          <w:p>
            <w:pPr>
              <w:jc w:val="center"/>
            </w:pPr>
            <w:r>
              <w:rPr>
                <w:rFonts w:ascii="Calibri" w:cs="Calibri" w:eastAsia="Calibri" w:hAnsi="Calibri"/>
                <w:color w:val="222222"/>
                <w:sz w:val="20"/>
                <w:szCs w:val="20"/>
              </w:rPr>
              <w:t xml:space="preserve">0.485</w:t>
            </w:r>
          </w:p>
        </w:tc>
        <w:tc>
          <w:tcPr>
            <w:tcW w:type="dxa" w:w="1300"/>
            <w:shd w:fill="F2F5F8" w:val="clear"/>
            <w:tcMar>
              <w:top w:type="dxa" w:w="50"/>
              <w:left w:type="dxa" w:w="100"/>
              <w:bottom w:type="dxa" w:w="50"/>
              <w:right w:type="dxa" w:w="100"/>
            </w:tcMar>
          </w:tcPr>
          <w:p>
            <w:pPr>
              <w:jc w:val="center"/>
            </w:pPr>
            <w:r>
              <w:rPr>
                <w:rFonts w:ascii="Calibri" w:cs="Calibri" w:eastAsia="Calibri" w:hAnsi="Calibri"/>
                <w:color w:val="222222"/>
                <w:sz w:val="20"/>
                <w:szCs w:val="20"/>
              </w:rPr>
              <w:t xml:space="preserve">0.253</w:t>
            </w:r>
          </w:p>
        </w:tc>
      </w:tr>
      <w:tr>
        <w:tc>
          <w:tcPr>
            <w:tcW w:type="dxa" w:w="3000"/>
            <w:tcMar>
              <w:top w:type="dxa" w:w="50"/>
              <w:left w:type="dxa" w:w="100"/>
              <w:bottom w:type="dxa" w:w="50"/>
              <w:right w:type="dxa" w:w="100"/>
            </w:tcMar>
          </w:tcPr>
          <w:p>
            <w:pPr>
              <w:jc w:val="left"/>
            </w:pPr>
            <w:r>
              <w:rPr>
                <w:rFonts w:ascii="Calibri" w:cs="Calibri" w:eastAsia="Calibri" w:hAnsi="Calibri"/>
                <w:color w:val="222222"/>
                <w:sz w:val="20"/>
                <w:szCs w:val="20"/>
              </w:rPr>
              <w:t xml:space="preserve">XGBoost</w:t>
            </w:r>
          </w:p>
        </w:tc>
        <w:tc>
          <w:tcPr>
            <w:tcW w:type="dxa" w:w="1450"/>
            <w:tcMar>
              <w:top w:type="dxa" w:w="50"/>
              <w:left w:type="dxa" w:w="100"/>
              <w:bottom w:type="dxa" w:w="50"/>
              <w:right w:type="dxa" w:w="100"/>
            </w:tcMar>
          </w:tcPr>
          <w:p>
            <w:pPr>
              <w:jc w:val="center"/>
            </w:pPr>
            <w:r>
              <w:rPr>
                <w:rFonts w:ascii="Calibri" w:cs="Calibri" w:eastAsia="Calibri" w:hAnsi="Calibri"/>
                <w:color w:val="222222"/>
                <w:sz w:val="20"/>
                <w:szCs w:val="20"/>
              </w:rPr>
              <w:t xml:space="preserve">0.6788</w:t>
            </w:r>
          </w:p>
        </w:tc>
        <w:tc>
          <w:tcPr>
            <w:tcW w:type="dxa" w:w="1450"/>
            <w:tcMar>
              <w:top w:type="dxa" w:w="50"/>
              <w:left w:type="dxa" w:w="100"/>
              <w:bottom w:type="dxa" w:w="50"/>
              <w:right w:type="dxa" w:w="100"/>
            </w:tcMar>
          </w:tcPr>
          <w:p>
            <w:pPr>
              <w:jc w:val="center"/>
            </w:pPr>
            <w:r>
              <w:rPr>
                <w:rFonts w:ascii="Calibri" w:cs="Calibri" w:eastAsia="Calibri" w:hAnsi="Calibri"/>
                <w:color w:val="222222"/>
                <w:sz w:val="20"/>
                <w:szCs w:val="20"/>
              </w:rPr>
              <w:t xml:space="preserve">0.1978</w:t>
            </w:r>
          </w:p>
        </w:tc>
        <w:tc>
          <w:tcPr>
            <w:tcW w:type="dxa" w:w="1450"/>
            <w:tcMar>
              <w:top w:type="dxa" w:w="50"/>
              <w:left w:type="dxa" w:w="100"/>
              <w:bottom w:type="dxa" w:w="50"/>
              <w:right w:type="dxa" w:w="100"/>
            </w:tcMar>
          </w:tcPr>
          <w:p>
            <w:pPr>
              <w:jc w:val="center"/>
            </w:pPr>
            <w:r>
              <w:rPr>
                <w:rFonts w:ascii="Calibri" w:cs="Calibri" w:eastAsia="Calibri" w:hAnsi="Calibri"/>
                <w:color w:val="222222"/>
                <w:sz w:val="20"/>
                <w:szCs w:val="20"/>
              </w:rPr>
              <w:t xml:space="preserve">0.164</w:t>
            </w:r>
          </w:p>
        </w:tc>
        <w:tc>
          <w:tcPr>
            <w:tcW w:type="dxa" w:w="1300"/>
            <w:tcMar>
              <w:top w:type="dxa" w:w="50"/>
              <w:left w:type="dxa" w:w="100"/>
              <w:bottom w:type="dxa" w:w="50"/>
              <w:right w:type="dxa" w:w="100"/>
            </w:tcMar>
          </w:tcPr>
          <w:p>
            <w:pPr>
              <w:jc w:val="center"/>
            </w:pPr>
            <w:r>
              <w:rPr>
                <w:rFonts w:ascii="Calibri" w:cs="Calibri" w:eastAsia="Calibri" w:hAnsi="Calibri"/>
                <w:color w:val="222222"/>
                <w:sz w:val="20"/>
                <w:szCs w:val="20"/>
              </w:rPr>
              <w:t xml:space="preserve">0.592</w:t>
            </w:r>
          </w:p>
        </w:tc>
        <w:tc>
          <w:tcPr>
            <w:tcW w:type="dxa" w:w="1300"/>
            <w:tcMar>
              <w:top w:type="dxa" w:w="50"/>
              <w:left w:type="dxa" w:w="100"/>
              <w:bottom w:type="dxa" w:w="50"/>
              <w:right w:type="dxa" w:w="100"/>
            </w:tcMar>
          </w:tcPr>
          <w:p>
            <w:pPr>
              <w:jc w:val="center"/>
            </w:pPr>
            <w:r>
              <w:rPr>
                <w:rFonts w:ascii="Calibri" w:cs="Calibri" w:eastAsia="Calibri" w:hAnsi="Calibri"/>
                <w:color w:val="222222"/>
                <w:sz w:val="20"/>
                <w:szCs w:val="20"/>
              </w:rPr>
              <w:t xml:space="preserve">0.257</w:t>
            </w:r>
          </w:p>
        </w:tc>
      </w:tr>
      <w:tr>
        <w:tc>
          <w:tcPr>
            <w:tcW w:type="dxa" w:w="3000"/>
            <w:shd w:fill="F2F5F8" w:val="clear"/>
            <w:tcMar>
              <w:top w:type="dxa" w:w="50"/>
              <w:left w:type="dxa" w:w="100"/>
              <w:bottom w:type="dxa" w:w="50"/>
              <w:right w:type="dxa" w:w="100"/>
            </w:tcMar>
          </w:tcPr>
          <w:p>
            <w:pPr>
              <w:jc w:val="left"/>
            </w:pPr>
            <w:r>
              <w:rPr>
                <w:rFonts w:ascii="Calibri" w:cs="Calibri" w:eastAsia="Calibri" w:hAnsi="Calibri"/>
                <w:color w:val="222222"/>
                <w:sz w:val="20"/>
                <w:szCs w:val="20"/>
              </w:rPr>
              <w:t xml:space="preserve">LightGBM</w:t>
            </w:r>
          </w:p>
        </w:tc>
        <w:tc>
          <w:tcPr>
            <w:tcW w:type="dxa" w:w="1450"/>
            <w:shd w:fill="F2F5F8" w:val="clear"/>
            <w:tcMar>
              <w:top w:type="dxa" w:w="50"/>
              <w:left w:type="dxa" w:w="100"/>
              <w:bottom w:type="dxa" w:w="50"/>
              <w:right w:type="dxa" w:w="100"/>
            </w:tcMar>
          </w:tcPr>
          <w:p>
            <w:pPr>
              <w:jc w:val="center"/>
            </w:pPr>
            <w:r>
              <w:rPr>
                <w:rFonts w:ascii="Calibri" w:cs="Calibri" w:eastAsia="Calibri" w:hAnsi="Calibri"/>
                <w:color w:val="222222"/>
                <w:sz w:val="20"/>
                <w:szCs w:val="20"/>
              </w:rPr>
              <w:t xml:space="preserve">0.6851</w:t>
            </w:r>
          </w:p>
        </w:tc>
        <w:tc>
          <w:tcPr>
            <w:tcW w:type="dxa" w:w="1450"/>
            <w:shd w:fill="F2F5F8" w:val="clear"/>
            <w:tcMar>
              <w:top w:type="dxa" w:w="50"/>
              <w:left w:type="dxa" w:w="100"/>
              <w:bottom w:type="dxa" w:w="50"/>
              <w:right w:type="dxa" w:w="100"/>
            </w:tcMar>
          </w:tcPr>
          <w:p>
            <w:pPr>
              <w:jc w:val="center"/>
            </w:pPr>
            <w:r>
              <w:rPr>
                <w:rFonts w:ascii="Calibri" w:cs="Calibri" w:eastAsia="Calibri" w:hAnsi="Calibri"/>
                <w:color w:val="222222"/>
                <w:sz w:val="20"/>
                <w:szCs w:val="20"/>
              </w:rPr>
              <w:t xml:space="preserve">0.2053</w:t>
            </w:r>
          </w:p>
        </w:tc>
        <w:tc>
          <w:tcPr>
            <w:tcW w:type="dxa" w:w="1450"/>
            <w:shd w:fill="F2F5F8" w:val="clear"/>
            <w:tcMar>
              <w:top w:type="dxa" w:w="50"/>
              <w:left w:type="dxa" w:w="100"/>
              <w:bottom w:type="dxa" w:w="50"/>
              <w:right w:type="dxa" w:w="100"/>
            </w:tcMar>
          </w:tcPr>
          <w:p>
            <w:pPr>
              <w:jc w:val="center"/>
            </w:pPr>
            <w:r>
              <w:rPr>
                <w:rFonts w:ascii="Calibri" w:cs="Calibri" w:eastAsia="Calibri" w:hAnsi="Calibri"/>
                <w:color w:val="222222"/>
                <w:sz w:val="20"/>
                <w:szCs w:val="20"/>
              </w:rPr>
              <w:t xml:space="preserve">0.160</w:t>
            </w:r>
          </w:p>
        </w:tc>
        <w:tc>
          <w:tcPr>
            <w:tcW w:type="dxa" w:w="1300"/>
            <w:shd w:fill="F2F5F8" w:val="clear"/>
            <w:tcMar>
              <w:top w:type="dxa" w:w="50"/>
              <w:left w:type="dxa" w:w="100"/>
              <w:bottom w:type="dxa" w:w="50"/>
              <w:right w:type="dxa" w:w="100"/>
            </w:tcMar>
          </w:tcPr>
          <w:p>
            <w:pPr>
              <w:jc w:val="center"/>
            </w:pPr>
            <w:r>
              <w:rPr>
                <w:rFonts w:ascii="Calibri" w:cs="Calibri" w:eastAsia="Calibri" w:hAnsi="Calibri"/>
                <w:color w:val="222222"/>
                <w:sz w:val="20"/>
                <w:szCs w:val="20"/>
              </w:rPr>
              <w:t xml:space="preserve">0.633</w:t>
            </w:r>
          </w:p>
        </w:tc>
        <w:tc>
          <w:tcPr>
            <w:tcW w:type="dxa" w:w="1300"/>
            <w:shd w:fill="F2F5F8" w:val="clear"/>
            <w:tcMar>
              <w:top w:type="dxa" w:w="50"/>
              <w:left w:type="dxa" w:w="100"/>
              <w:bottom w:type="dxa" w:w="50"/>
              <w:right w:type="dxa" w:w="100"/>
            </w:tcMar>
          </w:tcPr>
          <w:p>
            <w:pPr>
              <w:jc w:val="center"/>
            </w:pPr>
            <w:r>
              <w:rPr>
                <w:rFonts w:ascii="Calibri" w:cs="Calibri" w:eastAsia="Calibri" w:hAnsi="Calibri"/>
                <w:color w:val="222222"/>
                <w:sz w:val="20"/>
                <w:szCs w:val="20"/>
              </w:rPr>
              <w:t xml:space="preserve">0.255</w:t>
            </w:r>
          </w:p>
        </w:tc>
      </w:tr>
    </w:tbl>
    <w:p>
      <w:pPr>
        <w:spacing w:after="120"/>
      </w:pPr>
    </w:p>
    <w:p>
      <w:pPr>
        <w:spacing w:after="60" w:before="120"/>
        <w:jc w:val="center"/>
      </w:pPr>
      <w:r>
        <w:drawing>
          <wp:inline distT="0" distB="0" distL="0" distR="0">
            <wp:extent cx="5143500" cy="2743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143500" cy="2743200"/>
                    </a:xfrm>
                    <a:prstGeom prst="rect">
                      <a:avLst/>
                    </a:prstGeom>
                  </pic:spPr>
                </pic:pic>
              </a:graphicData>
            </a:graphic>
          </wp:inline>
        </w:drawing>
      </w:r>
    </w:p>
    <w:p>
      <w:pPr>
        <w:spacing w:after="200"/>
        <w:jc w:val="center"/>
      </w:pPr>
      <w:r>
        <w:rPr>
          <w:rFonts w:ascii="Calibri" w:cs="Calibri" w:eastAsia="Calibri" w:hAnsi="Calibri"/>
          <w:i/>
          <w:iCs/>
          <w:color w:val="667085"/>
          <w:sz w:val="18"/>
          <w:szCs w:val="18"/>
        </w:rPr>
        <w:t xml:space="preserve">Figure 2. ROC-AUC and PR-AUC across the four models on the 200,000-customer test set.</w:t>
      </w:r>
    </w:p>
    <w:p>
      <w:pPr>
        <w:spacing w:after="160" w:line="276"/>
        <w:jc w:val="both"/>
      </w:pPr>
      <w:r>
        <w:rPr>
          <w:rFonts w:ascii="Calibri" w:cs="Calibri" w:eastAsia="Calibri" w:hAnsi="Calibri"/>
          <w:b/>
          <w:bCs/>
          <w:sz w:val="22"/>
          <w:szCs w:val="22"/>
        </w:rPr>
        <w:t xml:space="preserve">LightGBM is the best performer </w:t>
      </w:r>
      <w:r>
        <w:rPr>
          <w:rFonts w:ascii="Calibri" w:cs="Calibri" w:eastAsia="Calibri" w:hAnsi="Calibri"/>
          <w:sz w:val="22"/>
          <w:szCs w:val="22"/>
        </w:rPr>
        <w:t xml:space="preserve">(ROC-AUC 0.6851, PR-AUC 0.2053), though the margin over logistic regression (0.6849 / 0.2028) is slim. At its default threshold, LightGBM catches 63.3% of actual churners; about one in six customers it flags (16.0% precision) actually churns. A PR-AUC of 0.205 against a 0.099 baseline means the model roughly doubles precision over random targeting averaged across thresholds.</w:t>
      </w:r>
    </w:p>
    <w:p>
      <w:pPr>
        <w:spacing w:after="160" w:line="276"/>
        <w:jc w:val="both"/>
      </w:pPr>
      <w:r>
        <w:rPr>
          <w:rFonts w:ascii="Calibri" w:cs="Calibri" w:eastAsia="Calibri" w:hAnsi="Calibri"/>
          <w:sz w:val="22"/>
          <w:szCs w:val="22"/>
        </w:rPr>
        <w:t xml:space="preserve">Two honest caveats deserve emphasis. First, discrimination is moderate, not strong: a ROC-AUC of 0.685 is useful for ranking customers but far from deterministic prediction — consistent with the exploratory finding that no feature has more than a small effect size. Second, contrary to the common expectation (stated in the notebook) that gradient boosting would clearly beat the linear baseline, logistic regression is essentially tied with LightGBM. This suggests churn here is driven largely by additive effects rather than complex interactions, and it makes the simpler, cheaper, more interpretable logistic model a legitimate production candidate.</w:t>
      </w:r>
    </w:p>
    <w:p>
      <w:pPr>
        <w:pStyle w:val="Heading2"/>
        <w:spacing w:after="120" w:before="240"/>
      </w:pPr>
      <w:r>
        <w:rPr>
          <w:b/>
          <w:bCs/>
          <w:color w:val="1F3B57"/>
        </w:rPr>
        <w:t xml:space="preserve">5.1 What drives the predictions</w:t>
      </w:r>
    </w:p>
    <w:p>
      <w:pPr>
        <w:spacing w:after="60" w:before="120"/>
        <w:jc w:val="center"/>
      </w:pPr>
      <w:r>
        <w:drawing>
          <wp:inline distT="0" distB="0" distL="0" distR="0">
            <wp:extent cx="5143500" cy="3152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143500" cy="3152775"/>
                    </a:xfrm>
                    <a:prstGeom prst="rect">
                      <a:avLst/>
                    </a:prstGeom>
                  </pic:spPr>
                </pic:pic>
              </a:graphicData>
            </a:graphic>
          </wp:inline>
        </w:drawing>
      </w:r>
    </w:p>
    <w:p>
      <w:pPr>
        <w:spacing w:after="200"/>
        <w:jc w:val="center"/>
      </w:pPr>
      <w:r>
        <w:rPr>
          <w:rFonts w:ascii="Calibri" w:cs="Calibri" w:eastAsia="Calibri" w:hAnsi="Calibri"/>
          <w:i/>
          <w:iCs/>
          <w:color w:val="667085"/>
          <w:sz w:val="18"/>
          <w:szCs w:val="18"/>
        </w:rPr>
        <w:t xml:space="preserve">Figure 3. Top 12 features by LightGBM split importance.</w:t>
      </w:r>
    </w:p>
    <w:p>
      <w:pPr>
        <w:spacing w:after="160" w:line="276"/>
        <w:jc w:val="both"/>
      </w:pPr>
      <w:r>
        <w:rPr>
          <w:rFonts w:ascii="Calibri" w:cs="Calibri" w:eastAsia="Calibri" w:hAnsi="Calibri"/>
          <w:sz w:val="22"/>
          <w:szCs w:val="22"/>
        </w:rPr>
        <w:t xml:space="preserve">LightGBM’s split-importance ranking is led by monthlycharges, credit_score, days_since_last_interaction, customer_satisfaction, annual_income, and tenure, with contract dummies further down. Split importance counts how often a feature is used, which favors high-cardinality continuous variables and understates low-cardinality dummies like contract type — the bivariate analysis and interaction heatmaps make clear that contract remains the strongest actionable driver. For production explainability, SHAP values would give a more faithful attribution than split counts.</w:t>
      </w:r>
    </w:p>
    <w:p>
      <w:pPr>
        <w:pStyle w:val="Heading1"/>
        <w:spacing w:after="160" w:before="320"/>
      </w:pPr>
      <w:r>
        <w:rPr>
          <w:b/>
          <w:bCs/>
          <w:color w:val="1F3B57"/>
        </w:rPr>
        <w:t xml:space="preserve">6. Risk Segmentation and Lift</w:t>
      </w:r>
    </w:p>
    <w:p>
      <w:pPr>
        <w:spacing w:after="160" w:line="276"/>
        <w:jc w:val="both"/>
      </w:pPr>
      <w:r>
        <w:rPr>
          <w:rFonts w:ascii="Calibri" w:cs="Calibri" w:eastAsia="Calibri" w:hAnsi="Calibri"/>
          <w:sz w:val="22"/>
          <w:szCs w:val="22"/>
        </w:rPr>
        <w:t xml:space="preserve">Scoring the 200,000-customer test set and sorting into deciles by predicted churn probability shows clean monotonic separation — the practical test of whether the model is useful for targeting:</w:t>
      </w:r>
    </w:p>
    <w:p>
      <w:pPr>
        <w:spacing w:after="60" w:before="120"/>
        <w:jc w:val="center"/>
      </w:pPr>
      <w:r>
        <w:drawing>
          <wp:inline distT="0" distB="0" distL="0" distR="0">
            <wp:extent cx="5143500" cy="2743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143500" cy="2743200"/>
                    </a:xfrm>
                    <a:prstGeom prst="rect">
                      <a:avLst/>
                    </a:prstGeom>
                  </pic:spPr>
                </pic:pic>
              </a:graphicData>
            </a:graphic>
          </wp:inline>
        </w:drawing>
      </w:r>
    </w:p>
    <w:p>
      <w:pPr>
        <w:spacing w:after="200"/>
        <w:jc w:val="center"/>
      </w:pPr>
      <w:r>
        <w:rPr>
          <w:rFonts w:ascii="Calibri" w:cs="Calibri" w:eastAsia="Calibri" w:hAnsi="Calibri"/>
          <w:i/>
          <w:iCs/>
          <w:color w:val="667085"/>
          <w:sz w:val="18"/>
          <w:szCs w:val="18"/>
        </w:rPr>
        <w:t xml:space="preserve">Figure 4. Actual churn rate by predicted-risk decile (LightGBM, test set).</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3100"/>
        <w:gridCol w:w="1700"/>
        <w:gridCol w:w="1900"/>
        <w:gridCol w:w="1500"/>
        <w:gridCol w:w="2000"/>
      </w:tblGrid>
      <w:tr>
        <w:trPr>
          <w:tblHeader/>
        </w:trPr>
        <w:tc>
          <w:tcPr>
            <w:tcW w:type="dxa" w:w="3100"/>
            <w:shd w:fill="1F3B57" w:val="clear"/>
            <w:tcMar>
              <w:top w:type="dxa" w:w="60"/>
              <w:left w:type="dxa" w:w="100"/>
              <w:bottom w:type="dxa" w:w="60"/>
              <w:right w:type="dxa" w:w="100"/>
            </w:tcMar>
          </w:tcPr>
          <w:p>
            <w:pPr>
              <w:jc w:val="left"/>
            </w:pPr>
            <w:r>
              <w:rPr>
                <w:rFonts w:ascii="Calibri" w:cs="Calibri" w:eastAsia="Calibri" w:hAnsi="Calibri"/>
                <w:b/>
                <w:bCs/>
                <w:color w:val="FFFFFF"/>
                <w:sz w:val="20"/>
                <w:szCs w:val="20"/>
              </w:rPr>
              <w:t xml:space="preserve">Segment</w:t>
            </w:r>
          </w:p>
        </w:tc>
        <w:tc>
          <w:tcPr>
            <w:tcW w:type="dxa" w:w="1700"/>
            <w:shd w:fill="1F3B57" w:val="clear"/>
            <w:tcMar>
              <w:top w:type="dxa" w:w="60"/>
              <w:left w:type="dxa" w:w="100"/>
              <w:bottom w:type="dxa" w:w="60"/>
              <w:right w:type="dxa" w:w="100"/>
            </w:tcMar>
          </w:tcPr>
          <w:p>
            <w:pPr>
              <w:jc w:val="center"/>
            </w:pPr>
            <w:r>
              <w:rPr>
                <w:rFonts w:ascii="Calibri" w:cs="Calibri" w:eastAsia="Calibri" w:hAnsi="Calibri"/>
                <w:b/>
                <w:bCs/>
                <w:color w:val="FFFFFF"/>
                <w:sz w:val="20"/>
                <w:szCs w:val="20"/>
              </w:rPr>
              <w:t xml:space="preserve">Customers</w:t>
            </w:r>
          </w:p>
        </w:tc>
        <w:tc>
          <w:tcPr>
            <w:tcW w:type="dxa" w:w="1900"/>
            <w:shd w:fill="1F3B57" w:val="clear"/>
            <w:tcMar>
              <w:top w:type="dxa" w:w="60"/>
              <w:left w:type="dxa" w:w="100"/>
              <w:bottom w:type="dxa" w:w="60"/>
              <w:right w:type="dxa" w:w="100"/>
            </w:tcMar>
          </w:tcPr>
          <w:p>
            <w:pPr>
              <w:jc w:val="center"/>
            </w:pPr>
            <w:r>
              <w:rPr>
                <w:rFonts w:ascii="Calibri" w:cs="Calibri" w:eastAsia="Calibri" w:hAnsi="Calibri"/>
                <w:b/>
                <w:bCs/>
                <w:color w:val="FFFFFF"/>
                <w:sz w:val="20"/>
                <w:szCs w:val="20"/>
              </w:rPr>
              <w:t xml:space="preserve">Actual churners</w:t>
            </w:r>
          </w:p>
        </w:tc>
        <w:tc>
          <w:tcPr>
            <w:tcW w:type="dxa" w:w="1500"/>
            <w:shd w:fill="1F3B57" w:val="clear"/>
            <w:tcMar>
              <w:top w:type="dxa" w:w="60"/>
              <w:left w:type="dxa" w:w="100"/>
              <w:bottom w:type="dxa" w:w="60"/>
              <w:right w:type="dxa" w:w="100"/>
            </w:tcMar>
          </w:tcPr>
          <w:p>
            <w:pPr>
              <w:jc w:val="center"/>
            </w:pPr>
            <w:r>
              <w:rPr>
                <w:rFonts w:ascii="Calibri" w:cs="Calibri" w:eastAsia="Calibri" w:hAnsi="Calibri"/>
                <w:b/>
                <w:bCs/>
                <w:color w:val="FFFFFF"/>
                <w:sz w:val="20"/>
                <w:szCs w:val="20"/>
              </w:rPr>
              <w:t xml:space="preserve">Churn rate</w:t>
            </w:r>
          </w:p>
        </w:tc>
        <w:tc>
          <w:tcPr>
            <w:tcW w:type="dxa" w:w="2000"/>
            <w:shd w:fill="1F3B57" w:val="clear"/>
            <w:tcMar>
              <w:top w:type="dxa" w:w="60"/>
              <w:left w:type="dxa" w:w="100"/>
              <w:bottom w:type="dxa" w:w="60"/>
              <w:right w:type="dxa" w:w="100"/>
            </w:tcMar>
          </w:tcPr>
          <w:p>
            <w:pPr>
              <w:jc w:val="center"/>
            </w:pPr>
            <w:r>
              <w:rPr>
                <w:rFonts w:ascii="Calibri" w:cs="Calibri" w:eastAsia="Calibri" w:hAnsi="Calibri"/>
                <w:b/>
                <w:bCs/>
                <w:color w:val="FFFFFF"/>
                <w:sz w:val="20"/>
                <w:szCs w:val="20"/>
              </w:rPr>
              <w:t xml:space="preserve">Share of all churn</w:t>
            </w:r>
          </w:p>
        </w:tc>
      </w:tr>
      <w:tr>
        <w:tc>
          <w:tcPr>
            <w:tcW w:type="dxa" w:w="3100"/>
            <w:tcMar>
              <w:top w:type="dxa" w:w="50"/>
              <w:left w:type="dxa" w:w="100"/>
              <w:bottom w:type="dxa" w:w="50"/>
              <w:right w:type="dxa" w:w="100"/>
            </w:tcMar>
          </w:tcPr>
          <w:p>
            <w:pPr>
              <w:jc w:val="left"/>
            </w:pPr>
            <w:r>
              <w:rPr>
                <w:rFonts w:ascii="Calibri" w:cs="Calibri" w:eastAsia="Calibri" w:hAnsi="Calibri"/>
                <w:color w:val="222222"/>
                <w:sz w:val="20"/>
                <w:szCs w:val="20"/>
              </w:rPr>
              <w:t xml:space="preserve">Top decile (10)</w:t>
            </w:r>
          </w:p>
        </w:tc>
        <w:tc>
          <w:tcPr>
            <w:tcW w:type="dxa" w:w="1700"/>
            <w:tcMar>
              <w:top w:type="dxa" w:w="50"/>
              <w:left w:type="dxa" w:w="100"/>
              <w:bottom w:type="dxa" w:w="50"/>
              <w:right w:type="dxa" w:w="100"/>
            </w:tcMar>
          </w:tcPr>
          <w:p>
            <w:pPr>
              <w:jc w:val="center"/>
            </w:pPr>
            <w:r>
              <w:rPr>
                <w:rFonts w:ascii="Calibri" w:cs="Calibri" w:eastAsia="Calibri" w:hAnsi="Calibri"/>
                <w:color w:val="222222"/>
                <w:sz w:val="20"/>
                <w:szCs w:val="20"/>
              </w:rPr>
              <w:t xml:space="preserve">20,000</w:t>
            </w:r>
          </w:p>
        </w:tc>
        <w:tc>
          <w:tcPr>
            <w:tcW w:type="dxa" w:w="1900"/>
            <w:tcMar>
              <w:top w:type="dxa" w:w="50"/>
              <w:left w:type="dxa" w:w="100"/>
              <w:bottom w:type="dxa" w:w="50"/>
              <w:right w:type="dxa" w:w="100"/>
            </w:tcMar>
          </w:tcPr>
          <w:p>
            <w:pPr>
              <w:jc w:val="center"/>
            </w:pPr>
            <w:r>
              <w:rPr>
                <w:rFonts w:ascii="Calibri" w:cs="Calibri" w:eastAsia="Calibri" w:hAnsi="Calibri"/>
                <w:color w:val="222222"/>
                <w:sz w:val="20"/>
                <w:szCs w:val="20"/>
              </w:rPr>
              <w:t xml:space="preserve">4,910</w:t>
            </w:r>
          </w:p>
        </w:tc>
        <w:tc>
          <w:tcPr>
            <w:tcW w:type="dxa" w:w="1500"/>
            <w:tcMar>
              <w:top w:type="dxa" w:w="50"/>
              <w:left w:type="dxa" w:w="100"/>
              <w:bottom w:type="dxa" w:w="50"/>
              <w:right w:type="dxa" w:w="100"/>
            </w:tcMar>
          </w:tcPr>
          <w:p>
            <w:pPr>
              <w:jc w:val="center"/>
            </w:pPr>
            <w:r>
              <w:rPr>
                <w:rFonts w:ascii="Calibri" w:cs="Calibri" w:eastAsia="Calibri" w:hAnsi="Calibri"/>
                <w:color w:val="222222"/>
                <w:sz w:val="20"/>
                <w:szCs w:val="20"/>
              </w:rPr>
              <w:t xml:space="preserve">24.6%</w:t>
            </w:r>
          </w:p>
        </w:tc>
        <w:tc>
          <w:tcPr>
            <w:tcW w:type="dxa" w:w="2000"/>
            <w:tcMar>
              <w:top w:type="dxa" w:w="50"/>
              <w:left w:type="dxa" w:w="100"/>
              <w:bottom w:type="dxa" w:w="50"/>
              <w:right w:type="dxa" w:w="100"/>
            </w:tcMar>
          </w:tcPr>
          <w:p>
            <w:pPr>
              <w:jc w:val="center"/>
            </w:pPr>
            <w:r>
              <w:rPr>
                <w:rFonts w:ascii="Calibri" w:cs="Calibri" w:eastAsia="Calibri" w:hAnsi="Calibri"/>
                <w:color w:val="222222"/>
                <w:sz w:val="20"/>
                <w:szCs w:val="20"/>
              </w:rPr>
              <w:t xml:space="preserve">24.7%</w:t>
            </w:r>
          </w:p>
        </w:tc>
      </w:tr>
      <w:tr>
        <w:tc>
          <w:tcPr>
            <w:tcW w:type="dxa" w:w="3100"/>
            <w:shd w:fill="F2F5F8" w:val="clear"/>
            <w:tcMar>
              <w:top w:type="dxa" w:w="50"/>
              <w:left w:type="dxa" w:w="100"/>
              <w:bottom w:type="dxa" w:w="50"/>
              <w:right w:type="dxa" w:w="100"/>
            </w:tcMar>
          </w:tcPr>
          <w:p>
            <w:pPr>
              <w:jc w:val="left"/>
            </w:pPr>
            <w:r>
              <w:rPr>
                <w:rFonts w:ascii="Calibri" w:cs="Calibri" w:eastAsia="Calibri" w:hAnsi="Calibri"/>
                <w:color w:val="222222"/>
                <w:sz w:val="20"/>
                <w:szCs w:val="20"/>
              </w:rPr>
              <w:t xml:space="preserve">Top 2 deciles (9–10)</w:t>
            </w:r>
          </w:p>
        </w:tc>
        <w:tc>
          <w:tcPr>
            <w:tcW w:type="dxa" w:w="1700"/>
            <w:shd w:fill="F2F5F8" w:val="clear"/>
            <w:tcMar>
              <w:top w:type="dxa" w:w="50"/>
              <w:left w:type="dxa" w:w="100"/>
              <w:bottom w:type="dxa" w:w="50"/>
              <w:right w:type="dxa" w:w="100"/>
            </w:tcMar>
          </w:tcPr>
          <w:p>
            <w:pPr>
              <w:jc w:val="center"/>
            </w:pPr>
            <w:r>
              <w:rPr>
                <w:rFonts w:ascii="Calibri" w:cs="Calibri" w:eastAsia="Calibri" w:hAnsi="Calibri"/>
                <w:color w:val="222222"/>
                <w:sz w:val="20"/>
                <w:szCs w:val="20"/>
              </w:rPr>
              <w:t xml:space="preserve">40,000</w:t>
            </w:r>
          </w:p>
        </w:tc>
        <w:tc>
          <w:tcPr>
            <w:tcW w:type="dxa" w:w="1900"/>
            <w:shd w:fill="F2F5F8" w:val="clear"/>
            <w:tcMar>
              <w:top w:type="dxa" w:w="50"/>
              <w:left w:type="dxa" w:w="100"/>
              <w:bottom w:type="dxa" w:w="50"/>
              <w:right w:type="dxa" w:w="100"/>
            </w:tcMar>
          </w:tcPr>
          <w:p>
            <w:pPr>
              <w:jc w:val="center"/>
            </w:pPr>
            <w:r>
              <w:rPr>
                <w:rFonts w:ascii="Calibri" w:cs="Calibri" w:eastAsia="Calibri" w:hAnsi="Calibri"/>
                <w:color w:val="222222"/>
                <w:sz w:val="20"/>
                <w:szCs w:val="20"/>
              </w:rPr>
              <w:t xml:space="preserve">8,019</w:t>
            </w:r>
          </w:p>
        </w:tc>
        <w:tc>
          <w:tcPr>
            <w:tcW w:type="dxa" w:w="1500"/>
            <w:shd w:fill="F2F5F8" w:val="clear"/>
            <w:tcMar>
              <w:top w:type="dxa" w:w="50"/>
              <w:left w:type="dxa" w:w="100"/>
              <w:bottom w:type="dxa" w:w="50"/>
              <w:right w:type="dxa" w:w="100"/>
            </w:tcMar>
          </w:tcPr>
          <w:p>
            <w:pPr>
              <w:jc w:val="center"/>
            </w:pPr>
            <w:r>
              <w:rPr>
                <w:rFonts w:ascii="Calibri" w:cs="Calibri" w:eastAsia="Calibri" w:hAnsi="Calibri"/>
                <w:color w:val="222222"/>
                <w:sz w:val="20"/>
                <w:szCs w:val="20"/>
              </w:rPr>
              <w:t xml:space="preserve">20.0%</w:t>
            </w:r>
          </w:p>
        </w:tc>
        <w:tc>
          <w:tcPr>
            <w:tcW w:type="dxa" w:w="2000"/>
            <w:shd w:fill="F2F5F8" w:val="clear"/>
            <w:tcMar>
              <w:top w:type="dxa" w:w="50"/>
              <w:left w:type="dxa" w:w="100"/>
              <w:bottom w:type="dxa" w:w="50"/>
              <w:right w:type="dxa" w:w="100"/>
            </w:tcMar>
          </w:tcPr>
          <w:p>
            <w:pPr>
              <w:jc w:val="center"/>
            </w:pPr>
            <w:r>
              <w:rPr>
                <w:rFonts w:ascii="Calibri" w:cs="Calibri" w:eastAsia="Calibri" w:hAnsi="Calibri"/>
                <w:color w:val="222222"/>
                <w:sz w:val="20"/>
                <w:szCs w:val="20"/>
              </w:rPr>
              <w:t xml:space="preserve">40.4%</w:t>
            </w:r>
          </w:p>
        </w:tc>
      </w:tr>
      <w:tr>
        <w:tc>
          <w:tcPr>
            <w:tcW w:type="dxa" w:w="3100"/>
            <w:tcMar>
              <w:top w:type="dxa" w:w="50"/>
              <w:left w:type="dxa" w:w="100"/>
              <w:bottom w:type="dxa" w:w="50"/>
              <w:right w:type="dxa" w:w="100"/>
            </w:tcMar>
          </w:tcPr>
          <w:p>
            <w:pPr>
              <w:jc w:val="left"/>
            </w:pPr>
            <w:r>
              <w:rPr>
                <w:rFonts w:ascii="Calibri" w:cs="Calibri" w:eastAsia="Calibri" w:hAnsi="Calibri"/>
                <w:color w:val="222222"/>
                <w:sz w:val="20"/>
                <w:szCs w:val="20"/>
              </w:rPr>
              <w:t xml:space="preserve">Top 3 deciles (8–10)</w:t>
            </w:r>
          </w:p>
        </w:tc>
        <w:tc>
          <w:tcPr>
            <w:tcW w:type="dxa" w:w="1700"/>
            <w:tcMar>
              <w:top w:type="dxa" w:w="50"/>
              <w:left w:type="dxa" w:w="100"/>
              <w:bottom w:type="dxa" w:w="50"/>
              <w:right w:type="dxa" w:w="100"/>
            </w:tcMar>
          </w:tcPr>
          <w:p>
            <w:pPr>
              <w:jc w:val="center"/>
            </w:pPr>
            <w:r>
              <w:rPr>
                <w:rFonts w:ascii="Calibri" w:cs="Calibri" w:eastAsia="Calibri" w:hAnsi="Calibri"/>
                <w:color w:val="222222"/>
                <w:sz w:val="20"/>
                <w:szCs w:val="20"/>
              </w:rPr>
              <w:t xml:space="preserve">60,000</w:t>
            </w:r>
          </w:p>
        </w:tc>
        <w:tc>
          <w:tcPr>
            <w:tcW w:type="dxa" w:w="1900"/>
            <w:tcMar>
              <w:top w:type="dxa" w:w="50"/>
              <w:left w:type="dxa" w:w="100"/>
              <w:bottom w:type="dxa" w:w="50"/>
              <w:right w:type="dxa" w:w="100"/>
            </w:tcMar>
          </w:tcPr>
          <w:p>
            <w:pPr>
              <w:jc w:val="center"/>
            </w:pPr>
            <w:r>
              <w:rPr>
                <w:rFonts w:ascii="Calibri" w:cs="Calibri" w:eastAsia="Calibri" w:hAnsi="Calibri"/>
                <w:color w:val="222222"/>
                <w:sz w:val="20"/>
                <w:szCs w:val="20"/>
              </w:rPr>
              <w:t xml:space="preserve">10,591</w:t>
            </w:r>
          </w:p>
        </w:tc>
        <w:tc>
          <w:tcPr>
            <w:tcW w:type="dxa" w:w="1500"/>
            <w:tcMar>
              <w:top w:type="dxa" w:w="50"/>
              <w:left w:type="dxa" w:w="100"/>
              <w:bottom w:type="dxa" w:w="50"/>
              <w:right w:type="dxa" w:w="100"/>
            </w:tcMar>
          </w:tcPr>
          <w:p>
            <w:pPr>
              <w:jc w:val="center"/>
            </w:pPr>
            <w:r>
              <w:rPr>
                <w:rFonts w:ascii="Calibri" w:cs="Calibri" w:eastAsia="Calibri" w:hAnsi="Calibri"/>
                <w:color w:val="222222"/>
                <w:sz w:val="20"/>
                <w:szCs w:val="20"/>
              </w:rPr>
              <w:t xml:space="preserve">17.7%</w:t>
            </w:r>
          </w:p>
        </w:tc>
        <w:tc>
          <w:tcPr>
            <w:tcW w:type="dxa" w:w="2000"/>
            <w:tcMar>
              <w:top w:type="dxa" w:w="50"/>
              <w:left w:type="dxa" w:w="100"/>
              <w:bottom w:type="dxa" w:w="50"/>
              <w:right w:type="dxa" w:w="100"/>
            </w:tcMar>
          </w:tcPr>
          <w:p>
            <w:pPr>
              <w:jc w:val="center"/>
            </w:pPr>
            <w:r>
              <w:rPr>
                <w:rFonts w:ascii="Calibri" w:cs="Calibri" w:eastAsia="Calibri" w:hAnsi="Calibri"/>
                <w:color w:val="222222"/>
                <w:sz w:val="20"/>
                <w:szCs w:val="20"/>
              </w:rPr>
              <w:t xml:space="preserve">53.4%</w:t>
            </w:r>
          </w:p>
        </w:tc>
      </w:tr>
      <w:tr>
        <w:tc>
          <w:tcPr>
            <w:tcW w:type="dxa" w:w="3100"/>
            <w:shd w:fill="F2F5F8" w:val="clear"/>
            <w:tcMar>
              <w:top w:type="dxa" w:w="50"/>
              <w:left w:type="dxa" w:w="100"/>
              <w:bottom w:type="dxa" w:w="50"/>
              <w:right w:type="dxa" w:w="100"/>
            </w:tcMar>
          </w:tcPr>
          <w:p>
            <w:pPr>
              <w:jc w:val="left"/>
            </w:pPr>
            <w:r>
              <w:rPr>
                <w:rFonts w:ascii="Calibri" w:cs="Calibri" w:eastAsia="Calibri" w:hAnsi="Calibri"/>
                <w:color w:val="222222"/>
                <w:sz w:val="20"/>
                <w:szCs w:val="20"/>
              </w:rPr>
              <w:t xml:space="preserve">Bottom decile (1)</w:t>
            </w:r>
          </w:p>
        </w:tc>
        <w:tc>
          <w:tcPr>
            <w:tcW w:type="dxa" w:w="1700"/>
            <w:shd w:fill="F2F5F8" w:val="clear"/>
            <w:tcMar>
              <w:top w:type="dxa" w:w="50"/>
              <w:left w:type="dxa" w:w="100"/>
              <w:bottom w:type="dxa" w:w="50"/>
              <w:right w:type="dxa" w:w="100"/>
            </w:tcMar>
          </w:tcPr>
          <w:p>
            <w:pPr>
              <w:jc w:val="center"/>
            </w:pPr>
            <w:r>
              <w:rPr>
                <w:rFonts w:ascii="Calibri" w:cs="Calibri" w:eastAsia="Calibri" w:hAnsi="Calibri"/>
                <w:color w:val="222222"/>
                <w:sz w:val="20"/>
                <w:szCs w:val="20"/>
              </w:rPr>
              <w:t xml:space="preserve">20,000</w:t>
            </w:r>
          </w:p>
        </w:tc>
        <w:tc>
          <w:tcPr>
            <w:tcW w:type="dxa" w:w="1900"/>
            <w:shd w:fill="F2F5F8" w:val="clear"/>
            <w:tcMar>
              <w:top w:type="dxa" w:w="50"/>
              <w:left w:type="dxa" w:w="100"/>
              <w:bottom w:type="dxa" w:w="50"/>
              <w:right w:type="dxa" w:w="100"/>
            </w:tcMar>
          </w:tcPr>
          <w:p>
            <w:pPr>
              <w:jc w:val="center"/>
            </w:pPr>
            <w:r>
              <w:rPr>
                <w:rFonts w:ascii="Calibri" w:cs="Calibri" w:eastAsia="Calibri" w:hAnsi="Calibri"/>
                <w:color w:val="222222"/>
                <w:sz w:val="20"/>
                <w:szCs w:val="20"/>
              </w:rPr>
              <w:t xml:space="preserve">593</w:t>
            </w:r>
          </w:p>
        </w:tc>
        <w:tc>
          <w:tcPr>
            <w:tcW w:type="dxa" w:w="1500"/>
            <w:shd w:fill="F2F5F8" w:val="clear"/>
            <w:tcMar>
              <w:top w:type="dxa" w:w="50"/>
              <w:left w:type="dxa" w:w="100"/>
              <w:bottom w:type="dxa" w:w="50"/>
              <w:right w:type="dxa" w:w="100"/>
            </w:tcMar>
          </w:tcPr>
          <w:p>
            <w:pPr>
              <w:jc w:val="center"/>
            </w:pPr>
            <w:r>
              <w:rPr>
                <w:rFonts w:ascii="Calibri" w:cs="Calibri" w:eastAsia="Calibri" w:hAnsi="Calibri"/>
                <w:color w:val="222222"/>
                <w:sz w:val="20"/>
                <w:szCs w:val="20"/>
              </w:rPr>
              <w:t xml:space="preserve">3.0%</w:t>
            </w:r>
          </w:p>
        </w:tc>
        <w:tc>
          <w:tcPr>
            <w:tcW w:type="dxa" w:w="2000"/>
            <w:shd w:fill="F2F5F8" w:val="clear"/>
            <w:tcMar>
              <w:top w:type="dxa" w:w="50"/>
              <w:left w:type="dxa" w:w="100"/>
              <w:bottom w:type="dxa" w:w="50"/>
              <w:right w:type="dxa" w:w="100"/>
            </w:tcMar>
          </w:tcPr>
          <w:p>
            <w:pPr>
              <w:jc w:val="center"/>
            </w:pPr>
            <w:r>
              <w:rPr>
                <w:rFonts w:ascii="Calibri" w:cs="Calibri" w:eastAsia="Calibri" w:hAnsi="Calibri"/>
                <w:color w:val="222222"/>
                <w:sz w:val="20"/>
                <w:szCs w:val="20"/>
              </w:rPr>
              <w:t xml:space="preserve">3.0%</w:t>
            </w:r>
          </w:p>
        </w:tc>
      </w:tr>
      <w:tr>
        <w:tc>
          <w:tcPr>
            <w:tcW w:type="dxa" w:w="3100"/>
            <w:tcMar>
              <w:top w:type="dxa" w:w="50"/>
              <w:left w:type="dxa" w:w="100"/>
              <w:bottom w:type="dxa" w:w="50"/>
              <w:right w:type="dxa" w:w="100"/>
            </w:tcMar>
          </w:tcPr>
          <w:p>
            <w:pPr>
              <w:jc w:val="left"/>
            </w:pPr>
            <w:r>
              <w:rPr>
                <w:rFonts w:ascii="Calibri" w:cs="Calibri" w:eastAsia="Calibri" w:hAnsi="Calibri"/>
                <w:color w:val="222222"/>
                <w:sz w:val="20"/>
                <w:szCs w:val="20"/>
              </w:rPr>
              <w:t xml:space="preserve">Overall</w:t>
            </w:r>
          </w:p>
        </w:tc>
        <w:tc>
          <w:tcPr>
            <w:tcW w:type="dxa" w:w="1700"/>
            <w:tcMar>
              <w:top w:type="dxa" w:w="50"/>
              <w:left w:type="dxa" w:w="100"/>
              <w:bottom w:type="dxa" w:w="50"/>
              <w:right w:type="dxa" w:w="100"/>
            </w:tcMar>
          </w:tcPr>
          <w:p>
            <w:pPr>
              <w:jc w:val="center"/>
            </w:pPr>
            <w:r>
              <w:rPr>
                <w:rFonts w:ascii="Calibri" w:cs="Calibri" w:eastAsia="Calibri" w:hAnsi="Calibri"/>
                <w:color w:val="222222"/>
                <w:sz w:val="20"/>
                <w:szCs w:val="20"/>
              </w:rPr>
              <w:t xml:space="preserve">200,000</w:t>
            </w:r>
          </w:p>
        </w:tc>
        <w:tc>
          <w:tcPr>
            <w:tcW w:type="dxa" w:w="1900"/>
            <w:tcMar>
              <w:top w:type="dxa" w:w="50"/>
              <w:left w:type="dxa" w:w="100"/>
              <w:bottom w:type="dxa" w:w="50"/>
              <w:right w:type="dxa" w:w="100"/>
            </w:tcMar>
          </w:tcPr>
          <w:p>
            <w:pPr>
              <w:jc w:val="center"/>
            </w:pPr>
            <w:r>
              <w:rPr>
                <w:rFonts w:ascii="Calibri" w:cs="Calibri" w:eastAsia="Calibri" w:hAnsi="Calibri"/>
                <w:color w:val="222222"/>
                <w:sz w:val="20"/>
                <w:szCs w:val="20"/>
              </w:rPr>
              <w:t xml:space="preserve">19,845</w:t>
            </w:r>
          </w:p>
        </w:tc>
        <w:tc>
          <w:tcPr>
            <w:tcW w:type="dxa" w:w="1500"/>
            <w:tcMar>
              <w:top w:type="dxa" w:w="50"/>
              <w:left w:type="dxa" w:w="100"/>
              <w:bottom w:type="dxa" w:w="50"/>
              <w:right w:type="dxa" w:w="100"/>
            </w:tcMar>
          </w:tcPr>
          <w:p>
            <w:pPr>
              <w:jc w:val="center"/>
            </w:pPr>
            <w:r>
              <w:rPr>
                <w:rFonts w:ascii="Calibri" w:cs="Calibri" w:eastAsia="Calibri" w:hAnsi="Calibri"/>
                <w:color w:val="222222"/>
                <w:sz w:val="20"/>
                <w:szCs w:val="20"/>
              </w:rPr>
              <w:t xml:space="preserve">9.9%</w:t>
            </w:r>
          </w:p>
        </w:tc>
        <w:tc>
          <w:tcPr>
            <w:tcW w:type="dxa" w:w="2000"/>
            <w:tcMar>
              <w:top w:type="dxa" w:w="50"/>
              <w:left w:type="dxa" w:w="100"/>
              <w:bottom w:type="dxa" w:w="50"/>
              <w:right w:type="dxa" w:w="100"/>
            </w:tcMar>
          </w:tcPr>
          <w:p>
            <w:pPr>
              <w:jc w:val="center"/>
            </w:pPr>
            <w:r>
              <w:rPr>
                <w:rFonts w:ascii="Calibri" w:cs="Calibri" w:eastAsia="Calibri" w:hAnsi="Calibri"/>
                <w:color w:val="222222"/>
                <w:sz w:val="20"/>
                <w:szCs w:val="20"/>
              </w:rPr>
              <w:t xml:space="preserve">100%</w:t>
            </w:r>
          </w:p>
        </w:tc>
      </w:tr>
    </w:tbl>
    <w:p>
      <w:pPr>
        <w:spacing w:after="120"/>
      </w:pPr>
    </w:p>
    <w:p>
      <w:pPr>
        <w:spacing w:after="160" w:line="276"/>
        <w:jc w:val="both"/>
      </w:pPr>
      <w:r>
        <w:rPr>
          <w:rFonts w:ascii="Calibri" w:cs="Calibri" w:eastAsia="Calibri" w:hAnsi="Calibri"/>
          <w:sz w:val="22"/>
          <w:szCs w:val="22"/>
        </w:rPr>
        <w:t xml:space="preserve">The top decile churns at 2.5 times the baseline rate, and the top 20% of customers by score contain 40% of all churners. A campaign aimed at the top two deciles therefore reaches four in ten future churners while contacting only one in five customers.</w:t>
      </w:r>
    </w:p>
    <w:p>
      <w:pPr>
        <w:pStyle w:val="Heading1"/>
        <w:spacing w:after="160" w:before="320"/>
      </w:pPr>
      <w:r>
        <w:rPr>
          <w:b/>
          <w:bCs/>
          <w:color w:val="1F3B57"/>
        </w:rPr>
        <w:t xml:space="preserve">7. Financial Projection</w:t>
      </w:r>
    </w:p>
    <w:p>
      <w:pPr>
        <w:spacing w:after="160" w:line="276"/>
        <w:jc w:val="both"/>
      </w:pPr>
      <w:r>
        <w:rPr>
          <w:rFonts w:ascii="Calibri" w:cs="Calibri" w:eastAsia="Calibri" w:hAnsi="Calibri"/>
          <w:sz w:val="22"/>
          <w:szCs w:val="22"/>
        </w:rPr>
        <w:t xml:space="preserve">The business case models a retention campaign against the top 20% highest-risk customers on the test set, using the dataset’s average monthly revenue of $86.44, an assumed 24-month remaining lifetime for a saved customer (lifetime value ≈ $2,075), a $50 retention offer per targeted customer, and a 30% intervention success rate:</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5200"/>
        <w:gridCol w:w="3200"/>
      </w:tblGrid>
      <w:tr>
        <w:trPr>
          <w:tblHeader/>
        </w:trPr>
        <w:tc>
          <w:tcPr>
            <w:tcW w:type="dxa" w:w="5200"/>
            <w:shd w:fill="1F3B57" w:val="clear"/>
            <w:tcMar>
              <w:top w:type="dxa" w:w="60"/>
              <w:left w:type="dxa" w:w="100"/>
              <w:bottom w:type="dxa" w:w="60"/>
              <w:right w:type="dxa" w:w="100"/>
            </w:tcMar>
          </w:tcPr>
          <w:p>
            <w:pPr>
              <w:jc w:val="left"/>
            </w:pPr>
            <w:r>
              <w:rPr>
                <w:rFonts w:ascii="Calibri" w:cs="Calibri" w:eastAsia="Calibri" w:hAnsi="Calibri"/>
                <w:b/>
                <w:bCs/>
                <w:color w:val="FFFFFF"/>
                <w:sz w:val="20"/>
                <w:szCs w:val="20"/>
              </w:rPr>
              <w:t xml:space="preserve">Line item</w:t>
            </w:r>
          </w:p>
        </w:tc>
        <w:tc>
          <w:tcPr>
            <w:tcW w:type="dxa" w:w="3200"/>
            <w:shd w:fill="1F3B57" w:val="clear"/>
            <w:tcMar>
              <w:top w:type="dxa" w:w="60"/>
              <w:left w:type="dxa" w:w="100"/>
              <w:bottom w:type="dxa" w:w="60"/>
              <w:right w:type="dxa" w:w="100"/>
            </w:tcMar>
          </w:tcPr>
          <w:p>
            <w:pPr>
              <w:jc w:val="center"/>
            </w:pPr>
            <w:r>
              <w:rPr>
                <w:rFonts w:ascii="Calibri" w:cs="Calibri" w:eastAsia="Calibri" w:hAnsi="Calibri"/>
                <w:b/>
                <w:bCs/>
                <w:color w:val="FFFFFF"/>
                <w:sz w:val="20"/>
                <w:szCs w:val="20"/>
              </w:rPr>
              <w:t xml:space="preserve">Value</w:t>
            </w:r>
          </w:p>
        </w:tc>
      </w:tr>
      <w:tr>
        <w:tc>
          <w:tcPr>
            <w:tcW w:type="dxa" w:w="5200"/>
            <w:tcMar>
              <w:top w:type="dxa" w:w="50"/>
              <w:left w:type="dxa" w:w="100"/>
              <w:bottom w:type="dxa" w:w="50"/>
              <w:right w:type="dxa" w:w="100"/>
            </w:tcMar>
          </w:tcPr>
          <w:p>
            <w:pPr>
              <w:jc w:val="left"/>
            </w:pPr>
            <w:r>
              <w:rPr>
                <w:rFonts w:ascii="Calibri" w:cs="Calibri" w:eastAsia="Calibri" w:hAnsi="Calibri"/>
                <w:color w:val="222222"/>
                <w:sz w:val="20"/>
                <w:szCs w:val="20"/>
              </w:rPr>
              <w:t xml:space="preserve">Customers targeted (top 20%)</w:t>
            </w:r>
          </w:p>
        </w:tc>
        <w:tc>
          <w:tcPr>
            <w:tcW w:type="dxa" w:w="3200"/>
            <w:tcMar>
              <w:top w:type="dxa" w:w="50"/>
              <w:left w:type="dxa" w:w="100"/>
              <w:bottom w:type="dxa" w:w="50"/>
              <w:right w:type="dxa" w:w="100"/>
            </w:tcMar>
          </w:tcPr>
          <w:p>
            <w:pPr>
              <w:jc w:val="center"/>
            </w:pPr>
            <w:r>
              <w:rPr>
                <w:rFonts w:ascii="Calibri" w:cs="Calibri" w:eastAsia="Calibri" w:hAnsi="Calibri"/>
                <w:color w:val="222222"/>
                <w:sz w:val="20"/>
                <w:szCs w:val="20"/>
              </w:rPr>
              <w:t xml:space="preserve">40,000</w:t>
            </w:r>
          </w:p>
        </w:tc>
      </w:tr>
      <w:tr>
        <w:tc>
          <w:tcPr>
            <w:tcW w:type="dxa" w:w="5200"/>
            <w:shd w:fill="F2F5F8" w:val="clear"/>
            <w:tcMar>
              <w:top w:type="dxa" w:w="50"/>
              <w:left w:type="dxa" w:w="100"/>
              <w:bottom w:type="dxa" w:w="50"/>
              <w:right w:type="dxa" w:w="100"/>
            </w:tcMar>
          </w:tcPr>
          <w:p>
            <w:pPr>
              <w:jc w:val="left"/>
            </w:pPr>
            <w:r>
              <w:rPr>
                <w:rFonts w:ascii="Calibri" w:cs="Calibri" w:eastAsia="Calibri" w:hAnsi="Calibri"/>
                <w:color w:val="222222"/>
                <w:sz w:val="20"/>
                <w:szCs w:val="20"/>
              </w:rPr>
              <w:t xml:space="preserve">Expected churners in segment (20.0% rate)</w:t>
            </w:r>
          </w:p>
        </w:tc>
        <w:tc>
          <w:tcPr>
            <w:tcW w:type="dxa" w:w="3200"/>
            <w:shd w:fill="F2F5F8" w:val="clear"/>
            <w:tcMar>
              <w:top w:type="dxa" w:w="50"/>
              <w:left w:type="dxa" w:w="100"/>
              <w:bottom w:type="dxa" w:w="50"/>
              <w:right w:type="dxa" w:w="100"/>
            </w:tcMar>
          </w:tcPr>
          <w:p>
            <w:pPr>
              <w:jc w:val="center"/>
            </w:pPr>
            <w:r>
              <w:rPr>
                <w:rFonts w:ascii="Calibri" w:cs="Calibri" w:eastAsia="Calibri" w:hAnsi="Calibri"/>
                <w:color w:val="222222"/>
                <w:sz w:val="20"/>
                <w:szCs w:val="20"/>
              </w:rPr>
              <w:t xml:space="preserve">8,019</w:t>
            </w:r>
          </w:p>
        </w:tc>
      </w:tr>
      <w:tr>
        <w:tc>
          <w:tcPr>
            <w:tcW w:type="dxa" w:w="5200"/>
            <w:tcMar>
              <w:top w:type="dxa" w:w="50"/>
              <w:left w:type="dxa" w:w="100"/>
              <w:bottom w:type="dxa" w:w="50"/>
              <w:right w:type="dxa" w:w="100"/>
            </w:tcMar>
          </w:tcPr>
          <w:p>
            <w:pPr>
              <w:jc w:val="left"/>
            </w:pPr>
            <w:r>
              <w:rPr>
                <w:rFonts w:ascii="Calibri" w:cs="Calibri" w:eastAsia="Calibri" w:hAnsi="Calibri"/>
                <w:color w:val="222222"/>
                <w:sz w:val="20"/>
                <w:szCs w:val="20"/>
              </w:rPr>
              <w:t xml:space="preserve">Churns prevented at 30% save rate</w:t>
            </w:r>
          </w:p>
        </w:tc>
        <w:tc>
          <w:tcPr>
            <w:tcW w:type="dxa" w:w="3200"/>
            <w:tcMar>
              <w:top w:type="dxa" w:w="50"/>
              <w:left w:type="dxa" w:w="100"/>
              <w:bottom w:type="dxa" w:w="50"/>
              <w:right w:type="dxa" w:w="100"/>
            </w:tcMar>
          </w:tcPr>
          <w:p>
            <w:pPr>
              <w:jc w:val="center"/>
            </w:pPr>
            <w:r>
              <w:rPr>
                <w:rFonts w:ascii="Calibri" w:cs="Calibri" w:eastAsia="Calibri" w:hAnsi="Calibri"/>
                <w:color w:val="222222"/>
                <w:sz w:val="20"/>
                <w:szCs w:val="20"/>
              </w:rPr>
              <w:t xml:space="preserve">2,406</w:t>
            </w:r>
          </w:p>
        </w:tc>
      </w:tr>
      <w:tr>
        <w:tc>
          <w:tcPr>
            <w:tcW w:type="dxa" w:w="5200"/>
            <w:shd w:fill="F2F5F8" w:val="clear"/>
            <w:tcMar>
              <w:top w:type="dxa" w:w="50"/>
              <w:left w:type="dxa" w:w="100"/>
              <w:bottom w:type="dxa" w:w="50"/>
              <w:right w:type="dxa" w:w="100"/>
            </w:tcMar>
          </w:tcPr>
          <w:p>
            <w:pPr>
              <w:jc w:val="left"/>
            </w:pPr>
            <w:r>
              <w:rPr>
                <w:rFonts w:ascii="Calibri" w:cs="Calibri" w:eastAsia="Calibri" w:hAnsi="Calibri"/>
                <w:color w:val="222222"/>
                <w:sz w:val="20"/>
                <w:szCs w:val="20"/>
              </w:rPr>
              <w:t xml:space="preserve">Revenue saved (2,406 × ~$2,075)</w:t>
            </w:r>
          </w:p>
        </w:tc>
        <w:tc>
          <w:tcPr>
            <w:tcW w:type="dxa" w:w="3200"/>
            <w:shd w:fill="F2F5F8" w:val="clear"/>
            <w:tcMar>
              <w:top w:type="dxa" w:w="50"/>
              <w:left w:type="dxa" w:w="100"/>
              <w:bottom w:type="dxa" w:w="50"/>
              <w:right w:type="dxa" w:w="100"/>
            </w:tcMar>
          </w:tcPr>
          <w:p>
            <w:pPr>
              <w:jc w:val="center"/>
            </w:pPr>
            <w:r>
              <w:rPr>
                <w:rFonts w:ascii="Calibri" w:cs="Calibri" w:eastAsia="Calibri" w:hAnsi="Calibri"/>
                <w:color w:val="222222"/>
                <w:sz w:val="20"/>
                <w:szCs w:val="20"/>
              </w:rPr>
              <w:t xml:space="preserve">$4,990,769</w:t>
            </w:r>
          </w:p>
        </w:tc>
      </w:tr>
      <w:tr>
        <w:tc>
          <w:tcPr>
            <w:tcW w:type="dxa" w:w="5200"/>
            <w:tcMar>
              <w:top w:type="dxa" w:w="50"/>
              <w:left w:type="dxa" w:w="100"/>
              <w:bottom w:type="dxa" w:w="50"/>
              <w:right w:type="dxa" w:w="100"/>
            </w:tcMar>
          </w:tcPr>
          <w:p>
            <w:pPr>
              <w:jc w:val="left"/>
            </w:pPr>
            <w:r>
              <w:rPr>
                <w:rFonts w:ascii="Calibri" w:cs="Calibri" w:eastAsia="Calibri" w:hAnsi="Calibri"/>
                <w:color w:val="222222"/>
                <w:sz w:val="20"/>
                <w:szCs w:val="20"/>
              </w:rPr>
              <w:t xml:space="preserve">Retention offer cost (40,000 × $50)</w:t>
            </w:r>
          </w:p>
        </w:tc>
        <w:tc>
          <w:tcPr>
            <w:tcW w:type="dxa" w:w="3200"/>
            <w:tcMar>
              <w:top w:type="dxa" w:w="50"/>
              <w:left w:type="dxa" w:w="100"/>
              <w:bottom w:type="dxa" w:w="50"/>
              <w:right w:type="dxa" w:w="100"/>
            </w:tcMar>
          </w:tcPr>
          <w:p>
            <w:pPr>
              <w:jc w:val="center"/>
            </w:pPr>
            <w:r>
              <w:rPr>
                <w:rFonts w:ascii="Calibri" w:cs="Calibri" w:eastAsia="Calibri" w:hAnsi="Calibri"/>
                <w:color w:val="222222"/>
                <w:sz w:val="20"/>
                <w:szCs w:val="20"/>
              </w:rPr>
              <w:t xml:space="preserve">$2,000,000</w:t>
            </w:r>
          </w:p>
        </w:tc>
      </w:tr>
      <w:tr>
        <w:tc>
          <w:tcPr>
            <w:tcW w:type="dxa" w:w="5200"/>
            <w:shd w:fill="F2F5F8" w:val="clear"/>
            <w:tcMar>
              <w:top w:type="dxa" w:w="50"/>
              <w:left w:type="dxa" w:w="100"/>
              <w:bottom w:type="dxa" w:w="50"/>
              <w:right w:type="dxa" w:w="100"/>
            </w:tcMar>
          </w:tcPr>
          <w:p>
            <w:pPr>
              <w:jc w:val="left"/>
            </w:pPr>
            <w:r>
              <w:rPr>
                <w:rFonts w:ascii="Calibri" w:cs="Calibri" w:eastAsia="Calibri" w:hAnsi="Calibri"/>
                <w:color w:val="222222"/>
                <w:sz w:val="20"/>
                <w:szCs w:val="20"/>
              </w:rPr>
              <w:t xml:space="preserve">Net savings per scoring cycle</w:t>
            </w:r>
          </w:p>
        </w:tc>
        <w:tc>
          <w:tcPr>
            <w:tcW w:type="dxa" w:w="3200"/>
            <w:shd w:fill="F2F5F8" w:val="clear"/>
            <w:tcMar>
              <w:top w:type="dxa" w:w="50"/>
              <w:left w:type="dxa" w:w="100"/>
              <w:bottom w:type="dxa" w:w="50"/>
              <w:right w:type="dxa" w:w="100"/>
            </w:tcMar>
          </w:tcPr>
          <w:p>
            <w:pPr>
              <w:jc w:val="center"/>
            </w:pPr>
            <w:r>
              <w:rPr>
                <w:rFonts w:ascii="Calibri" w:cs="Calibri" w:eastAsia="Calibri" w:hAnsi="Calibri"/>
                <w:color w:val="222222"/>
                <w:sz w:val="20"/>
                <w:szCs w:val="20"/>
              </w:rPr>
              <w:t xml:space="preserve">$2,990,769</w:t>
            </w:r>
          </w:p>
        </w:tc>
      </w:tr>
      <w:tr>
        <w:tc>
          <w:tcPr>
            <w:tcW w:type="dxa" w:w="5200"/>
            <w:tcMar>
              <w:top w:type="dxa" w:w="50"/>
              <w:left w:type="dxa" w:w="100"/>
              <w:bottom w:type="dxa" w:w="50"/>
              <w:right w:type="dxa" w:w="100"/>
            </w:tcMar>
          </w:tcPr>
          <w:p>
            <w:pPr>
              <w:jc w:val="left"/>
            </w:pPr>
            <w:r>
              <w:rPr>
                <w:rFonts w:ascii="Calibri" w:cs="Calibri" w:eastAsia="Calibri" w:hAnsi="Calibri"/>
                <w:color w:val="222222"/>
                <w:sz w:val="20"/>
                <w:szCs w:val="20"/>
              </w:rPr>
              <w:t xml:space="preserve">ROI on offer spend</w:t>
            </w:r>
          </w:p>
        </w:tc>
        <w:tc>
          <w:tcPr>
            <w:tcW w:type="dxa" w:w="3200"/>
            <w:tcMar>
              <w:top w:type="dxa" w:w="50"/>
              <w:left w:type="dxa" w:w="100"/>
              <w:bottom w:type="dxa" w:w="50"/>
              <w:right w:type="dxa" w:w="100"/>
            </w:tcMar>
          </w:tcPr>
          <w:p>
            <w:pPr>
              <w:jc w:val="center"/>
            </w:pPr>
            <w:r>
              <w:rPr>
                <w:rFonts w:ascii="Calibri" w:cs="Calibri" w:eastAsia="Calibri" w:hAnsi="Calibri"/>
                <w:color w:val="222222"/>
                <w:sz w:val="20"/>
                <w:szCs w:val="20"/>
              </w:rPr>
              <w:t xml:space="preserve">150%</w:t>
            </w:r>
          </w:p>
        </w:tc>
      </w:tr>
    </w:tbl>
    <w:p>
      <w:pPr>
        <w:spacing w:after="120"/>
      </w:pPr>
    </w:p>
    <w:p>
      <w:pPr>
        <w:spacing w:after="160" w:line="276"/>
        <w:jc w:val="both"/>
      </w:pPr>
      <w:r>
        <w:rPr>
          <w:rFonts w:ascii="Calibri" w:cs="Calibri" w:eastAsia="Calibri" w:hAnsi="Calibri"/>
          <w:sz w:val="22"/>
          <w:szCs w:val="22"/>
        </w:rPr>
        <w:t xml:space="preserve">Scaled to the full 1M-customer base with monthly scoring, this implies annual net savings on the order of $36M. Three assumptions carry the result and must be validated before this figure is used in planning: the 30% save rate (the single most sensitive input — at 15% the campaign roughly breaks even), the 24-month retained lifetime, and the blanket $50 offer cost. An A/B test on the top decile is the fastest way to replace these assumptions with measured values. Note the projection also assumes every targeted customer receives the offer cost, while only prevented churners generate savings; savings from offers to customers who would have stayed anyway are counted at zero but their cost is included, so the structure is conservative on the cost side.</w:t>
      </w:r>
    </w:p>
    <w:p>
      <w:pPr>
        <w:pStyle w:val="Heading1"/>
        <w:spacing w:after="160" w:before="320"/>
      </w:pPr>
      <w:r>
        <w:rPr>
          <w:b/>
          <w:bCs/>
          <w:color w:val="1F3B57"/>
        </w:rPr>
        <w:t xml:space="preserve">8. Recommendations</w:t>
      </w:r>
    </w:p>
    <w:p>
      <w:pPr>
        <w:spacing w:after="160" w:line="276"/>
        <w:jc w:val="both"/>
      </w:pPr>
      <w:r>
        <w:rPr>
          <w:rFonts w:ascii="Calibri" w:cs="Calibri" w:eastAsia="Calibri" w:hAnsi="Calibri"/>
          <w:b/>
          <w:bCs/>
          <w:sz w:val="22"/>
          <w:szCs w:val="22"/>
        </w:rPr>
        <w:t xml:space="preserve">1. Convert month-to-month customers to term contracts (High priority). </w:t>
      </w:r>
      <w:r>
        <w:rPr>
          <w:rFonts w:ascii="Calibri" w:cs="Calibri" w:eastAsia="Calibri" w:hAnsi="Calibri"/>
          <w:sz w:val="22"/>
          <w:szCs w:val="22"/>
        </w:rPr>
        <w:t xml:space="preserve">Only ~2% of the base (about 20,000 customers) is month-to-month, but they churn at 26.5%. Targeted conversion incentives — discounted annual pricing, benefits bundling — attack the single largest risk factor. One-year customers (55% of the base, churning at 12.7%) are the larger absolute opportunity for upgrades to two-year terms (5.7% churn).</w:t>
      </w:r>
    </w:p>
    <w:p>
      <w:pPr>
        <w:spacing w:after="160" w:line="276"/>
        <w:jc w:val="both"/>
      </w:pPr>
      <w:r>
        <w:rPr>
          <w:rFonts w:ascii="Calibri" w:cs="Calibri" w:eastAsia="Calibri" w:hAnsi="Calibri"/>
          <w:b/>
          <w:bCs/>
          <w:sz w:val="22"/>
          <w:szCs w:val="22"/>
        </w:rPr>
        <w:t xml:space="preserve">2. Trigger proactive service recovery (High priority). </w:t>
      </w:r>
      <w:r>
        <w:rPr>
          <w:rFonts w:ascii="Calibri" w:cs="Calibri" w:eastAsia="Calibri" w:hAnsi="Calibri"/>
          <w:sz w:val="22"/>
          <w:szCs w:val="22"/>
        </w:rPr>
        <w:t xml:space="preserve">Complaints, service calls, and late payments are the strongest behavioral predictors. Institute an automatic retention touch after a customer’s second complaint or third service call, and pair late-payment events with flexible-billing outreach rather than dunning alone.</w:t>
      </w:r>
    </w:p>
    <w:p>
      <w:pPr>
        <w:spacing w:after="160" w:line="276"/>
        <w:jc w:val="both"/>
      </w:pPr>
      <w:r>
        <w:rPr>
          <w:rFonts w:ascii="Calibri" w:cs="Calibri" w:eastAsia="Calibri" w:hAnsi="Calibri"/>
          <w:b/>
          <w:bCs/>
          <w:sz w:val="22"/>
          <w:szCs w:val="22"/>
        </w:rPr>
        <w:t xml:space="preserve">3. Operationalize scoring (High priority). </w:t>
      </w:r>
      <w:r>
        <w:rPr>
          <w:rFonts w:ascii="Calibri" w:cs="Calibri" w:eastAsia="Calibri" w:hAnsi="Calibri"/>
          <w:sz w:val="22"/>
          <w:szCs w:val="22"/>
        </w:rPr>
        <w:t xml:space="preserve">Deploy the model as a weekly batch pipeline, feed churn probabilities into the CRM so agents see risk at the point of contact, and route the top two risk deciles into retention workflows.</w:t>
      </w:r>
    </w:p>
    <w:p>
      <w:pPr>
        <w:spacing w:after="160" w:line="276"/>
        <w:jc w:val="both"/>
      </w:pPr>
      <w:r>
        <w:rPr>
          <w:rFonts w:ascii="Calibri" w:cs="Calibri" w:eastAsia="Calibri" w:hAnsi="Calibri"/>
          <w:b/>
          <w:bCs/>
          <w:sz w:val="22"/>
          <w:szCs w:val="22"/>
        </w:rPr>
        <w:t xml:space="preserve">4. A/B test before scaling spend (High priority). </w:t>
      </w:r>
      <w:r>
        <w:rPr>
          <w:rFonts w:ascii="Calibri" w:cs="Calibri" w:eastAsia="Calibri" w:hAnsi="Calibri"/>
          <w:sz w:val="22"/>
          <w:szCs w:val="22"/>
        </w:rPr>
        <w:t xml:space="preserve">Run offer vs. control on the top decile to measure the true save rate and offer elasticity; the financial case stands or falls on the 30% assumption.</w:t>
      </w:r>
    </w:p>
    <w:p>
      <w:pPr>
        <w:spacing w:after="160" w:line="276"/>
        <w:jc w:val="both"/>
      </w:pPr>
      <w:r>
        <w:rPr>
          <w:rFonts w:ascii="Calibri" w:cs="Calibri" w:eastAsia="Calibri" w:hAnsi="Calibri"/>
          <w:b/>
          <w:bCs/>
          <w:sz w:val="22"/>
          <w:szCs w:val="22"/>
        </w:rPr>
        <w:t xml:space="preserve">5. Improve the model (Medium priority). </w:t>
      </w:r>
      <w:r>
        <w:rPr>
          <w:rFonts w:ascii="Calibri" w:cs="Calibri" w:eastAsia="Calibri" w:hAnsi="Calibri"/>
          <w:sz w:val="22"/>
          <w:szCs w:val="22"/>
        </w:rPr>
        <w:t xml:space="preserve">Threshold optimization against campaign economics (rather than F1), SHAP-based explainability, probability calibration, and cost-sensitive learning are the highest-value next modeling steps. Monitor feature and score drift monthly (e.g., PSI) and retrain quarterly.</w:t>
      </w:r>
    </w:p>
    <w:p>
      <w:pPr>
        <w:pStyle w:val="Heading1"/>
        <w:spacing w:after="160" w:before="320"/>
      </w:pPr>
      <w:r>
        <w:rPr>
          <w:b/>
          <w:bCs/>
          <w:color w:val="1F3B57"/>
        </w:rPr>
        <w:t xml:space="preserve">9. Limitations</w:t>
      </w:r>
    </w:p>
    <w:p>
      <w:pPr>
        <w:pStyle w:val="ListParagraph"/>
        <w:numPr>
          <w:ilvl w:val="0"/>
          <w:numId w:val="2"/>
        </w:numPr>
        <w:spacing w:after="100" w:line="276"/>
      </w:pPr>
      <w:r>
        <w:rPr>
          <w:rFonts w:ascii="Calibri" w:cs="Calibri" w:eastAsia="Calibri" w:hAnsi="Calibri"/>
          <w:sz w:val="22"/>
          <w:szCs w:val="22"/>
        </w:rPr>
        <w:t xml:space="preserve">Discriminative power is moderate (ROC-AUC 0.685). The model is a targeting tool, not an oracle; roughly five of six customers flagged at the default threshold will not churn. Precision-oriented thresholds should be used where contact costs are high.</w:t>
      </w:r>
    </w:p>
    <w:p>
      <w:pPr>
        <w:pStyle w:val="ListParagraph"/>
        <w:numPr>
          <w:ilvl w:val="0"/>
          <w:numId w:val="2"/>
        </w:numPr>
        <w:spacing w:after="100" w:line="276"/>
      </w:pPr>
      <w:r>
        <w:rPr>
          <w:rFonts w:ascii="Calibri" w:cs="Calibri" w:eastAsia="Calibri" w:hAnsi="Calibri"/>
          <w:sz w:val="22"/>
          <w:szCs w:val="22"/>
        </w:rPr>
        <w:t xml:space="preserve">The near-tie between logistic regression and LightGBM suggests limited non-linear signal in the current features. Feature enrichment (network quality, competitor pricing, support-ticket text) is likelier to move performance than model tuning.</w:t>
      </w:r>
    </w:p>
    <w:p>
      <w:pPr>
        <w:pStyle w:val="ListParagraph"/>
        <w:numPr>
          <w:ilvl w:val="0"/>
          <w:numId w:val="2"/>
        </w:numPr>
        <w:spacing w:after="100" w:line="276"/>
      </w:pPr>
      <w:r>
        <w:rPr>
          <w:rFonts w:ascii="Calibri" w:cs="Calibri" w:eastAsia="Calibri" w:hAnsi="Calibri"/>
          <w:sz w:val="22"/>
          <w:szCs w:val="22"/>
        </w:rPr>
        <w:t xml:space="preserve">Median imputation of five columns (2–5% missing) is defensible under the MCAR finding but slightly compresses variance in those features.</w:t>
      </w:r>
    </w:p>
    <w:p>
      <w:pPr>
        <w:pStyle w:val="ListParagraph"/>
        <w:numPr>
          <w:ilvl w:val="0"/>
          <w:numId w:val="2"/>
        </w:numPr>
        <w:spacing w:after="100" w:line="276"/>
      </w:pPr>
      <w:r>
        <w:rPr>
          <w:rFonts w:ascii="Calibri" w:cs="Calibri" w:eastAsia="Calibri" w:hAnsi="Calibri"/>
          <w:sz w:val="22"/>
          <w:szCs w:val="22"/>
        </w:rPr>
        <w:t xml:space="preserve">Some notebook narrative claims are not supported by its own outputs — e.g., senior-citizen and payment-method effects described as moderate are computationally negligible, and the "strong" performance characterization overstates a 0.685 ROC-AUC. This report reflects the computed results throughout.</w:t>
      </w:r>
    </w:p>
    <w:p>
      <w:pPr>
        <w:pStyle w:val="ListParagraph"/>
        <w:numPr>
          <w:ilvl w:val="0"/>
          <w:numId w:val="2"/>
        </w:numPr>
        <w:spacing w:after="100" w:line="276"/>
      </w:pPr>
      <w:r>
        <w:rPr>
          <w:rFonts w:ascii="Calibri" w:cs="Calibri" w:eastAsia="Calibri" w:hAnsi="Calibri"/>
          <w:sz w:val="22"/>
          <w:szCs w:val="22"/>
        </w:rPr>
        <w:t xml:space="preserve">The financial projection is a scenario, not a forecast: save rate, retained lifetime, and offer cost are assumptions pending experimental validation.</w:t>
      </w:r>
    </w:p>
    <w:p>
      <w:pPr>
        <w:spacing w:after="120"/>
      </w:pPr>
    </w:p>
    <w:p>
      <w:pPr>
        <w:pBdr>
          <w:top w:val="single" w:color="CCCCCC" w:sz="4"/>
        </w:pBdr>
        <w:spacing w:before="200"/>
      </w:pPr>
      <w:r>
        <w:rPr>
          <w:rFonts w:ascii="Calibri" w:cs="Calibri" w:eastAsia="Calibri" w:hAnsi="Calibri"/>
          <w:i/>
          <w:iCs/>
          <w:color w:val="667085"/>
          <w:sz w:val="18"/>
          <w:szCs w:val="18"/>
        </w:rPr>
        <w:t xml:space="preserve">Prepared from customer_churn_prediction_1.ipynb and customer_churn_1M.csv. All figures verified against notebook cell outputs and recomputed from the raw data where feasible. Report date: July 19, 2026.</w:t>
      </w:r>
    </w:p>
    <w:sectPr>
      <w:footerReference w:type="default" r:id="rId7"/>
      <w:pgSz w:w="12240" w:h="15840" w:orient="portrait"/>
      <w:pgMar w:top="1200" w:right="1300" w:bottom="12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7085"/>
        <w:sz w:val="16"/>
        <w:szCs w:val="16"/>
      </w:rPr>
      <w:t xml:space="preserve">Customer Churn Analysis  ·  </w:t>
    </w:r>
    <w:r>
      <w:rPr>
        <w:color w:val="66708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pPr>
    <w:rPr>
      <w:rFonts w:ascii="Calibri" w:cs="Calibri" w:eastAsia="Calibri" w:hAnsi="Calibri"/>
      <w:b/>
      <w:bCs/>
      <w:color w:val="1F3B57"/>
      <w:sz w:val="32"/>
      <w:szCs w:val="32"/>
    </w:rPr>
  </w:style>
  <w:style w:type="paragraph" w:styleId="Heading2">
    <w:name w:val="Heading 2"/>
    <w:basedOn w:val="Normal"/>
    <w:next w:val="Normal"/>
    <w:qFormat/>
    <w:pPr>
      <w:spacing w:after="120" w:before="240"/>
    </w:pPr>
    <w:rPr>
      <w:rFonts w:ascii="Calibri" w:cs="Calibri" w:eastAsia="Calibri" w:hAnsi="Calibri"/>
      <w:b/>
      <w:bCs/>
      <w:color w:val="1F3B57"/>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7de2845e6c514acb36ba7e3c2aed7b68f606c806.png"/><Relationship Id="rId9" Type="http://schemas.openxmlformats.org/officeDocument/2006/relationships/image" Target="media/9e9e9b85dccb1cbfd97b974819f66f7a5105b8b3.png"/><Relationship Id="rId10" Type="http://schemas.openxmlformats.org/officeDocument/2006/relationships/image" Target="media/e0a9e502e388c03dc2aa9f3b38484a796fec349c.png"/><Relationship Id="rId11" Type="http://schemas.openxmlformats.org/officeDocument/2006/relationships/image" Target="media/1c46f14f9a3394ab104c28532e370e871efe18eb.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2026-07-19T13:17:37.074Z</dcterms:created>
  <dcterms:modified xsi:type="dcterms:W3CDTF">2026-07-19T13:17:37.074Z</dcterms:modified>
</cp:coreProperties>
</file>

<file path=docProps/custom.xml><?xml version="1.0" encoding="utf-8"?>
<Properties xmlns="http://schemas.openxmlformats.org/officeDocument/2006/custom-properties" xmlns:vt="http://schemas.openxmlformats.org/officeDocument/2006/docPropsVTypes"/>
</file>