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EC1" w:rsidRDefault="006563A3">
      <w:pPr>
        <w:spacing w:after="843" w:line="259" w:lineRule="auto"/>
        <w:ind w:left="2619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2217514" cy="221751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514" cy="22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C1" w:rsidRDefault="006563A3">
      <w:pPr>
        <w:spacing w:after="1158" w:line="259" w:lineRule="auto"/>
        <w:ind w:left="270" w:firstLine="0"/>
        <w:jc w:val="left"/>
      </w:pPr>
      <w:r>
        <w:rPr>
          <w:sz w:val="34"/>
        </w:rPr>
        <w:t>PUCP – Instituto de Radioastronomía (INRAS)</w:t>
      </w:r>
    </w:p>
    <w:p w:rsidR="008A1EC1" w:rsidRDefault="006563A3">
      <w:pPr>
        <w:spacing w:after="0" w:line="259" w:lineRule="auto"/>
        <w:jc w:val="center"/>
      </w:pPr>
      <w:r>
        <w:rPr>
          <w:sz w:val="50"/>
        </w:rPr>
        <w:t xml:space="preserve">INTISAT </w:t>
      </w:r>
      <w:proofErr w:type="spellStart"/>
      <w:r>
        <w:rPr>
          <w:sz w:val="50"/>
        </w:rPr>
        <w:t>Design</w:t>
      </w:r>
      <w:proofErr w:type="spellEnd"/>
      <w:r>
        <w:rPr>
          <w:sz w:val="50"/>
        </w:rPr>
        <w:t xml:space="preserve"> and </w:t>
      </w:r>
      <w:proofErr w:type="spellStart"/>
      <w:r>
        <w:rPr>
          <w:sz w:val="50"/>
        </w:rPr>
        <w:t>Mission</w:t>
      </w:r>
      <w:proofErr w:type="spellEnd"/>
    </w:p>
    <w:p w:rsidR="008A1EC1" w:rsidRDefault="006563A3">
      <w:pPr>
        <w:spacing w:after="152" w:line="259" w:lineRule="auto"/>
        <w:jc w:val="center"/>
      </w:pPr>
      <w:proofErr w:type="spellStart"/>
      <w:r>
        <w:rPr>
          <w:sz w:val="50"/>
        </w:rPr>
        <w:t>Overview</w:t>
      </w:r>
      <w:proofErr w:type="spellEnd"/>
    </w:p>
    <w:p w:rsidR="008A1EC1" w:rsidRDefault="006563A3">
      <w:pPr>
        <w:spacing w:after="280" w:line="259" w:lineRule="auto"/>
        <w:ind w:left="0" w:firstLine="0"/>
        <w:jc w:val="center"/>
      </w:pPr>
      <w:proofErr w:type="spellStart"/>
      <w:r>
        <w:rPr>
          <w:i/>
          <w:sz w:val="29"/>
        </w:rPr>
        <w:t>Critical</w:t>
      </w:r>
      <w:proofErr w:type="spellEnd"/>
      <w:r>
        <w:rPr>
          <w:i/>
          <w:sz w:val="29"/>
        </w:rPr>
        <w:t xml:space="preserve"> </w:t>
      </w:r>
      <w:proofErr w:type="spellStart"/>
      <w:r>
        <w:rPr>
          <w:i/>
          <w:sz w:val="29"/>
        </w:rPr>
        <w:t>Design</w:t>
      </w:r>
      <w:proofErr w:type="spellEnd"/>
      <w:r>
        <w:rPr>
          <w:i/>
          <w:sz w:val="29"/>
        </w:rPr>
        <w:t xml:space="preserve"> </w:t>
      </w:r>
      <w:proofErr w:type="spellStart"/>
      <w:r>
        <w:rPr>
          <w:i/>
          <w:sz w:val="29"/>
        </w:rPr>
        <w:t>Review</w:t>
      </w:r>
      <w:proofErr w:type="spellEnd"/>
      <w:r>
        <w:rPr>
          <w:i/>
          <w:sz w:val="29"/>
        </w:rPr>
        <w:t xml:space="preserve"> (CDR) – </w:t>
      </w:r>
      <w:proofErr w:type="spellStart"/>
      <w:r>
        <w:rPr>
          <w:i/>
          <w:sz w:val="29"/>
        </w:rPr>
        <w:t>Engineering</w:t>
      </w:r>
      <w:proofErr w:type="spellEnd"/>
      <w:r>
        <w:rPr>
          <w:i/>
          <w:sz w:val="29"/>
        </w:rPr>
        <w:t xml:space="preserve"> </w:t>
      </w:r>
      <w:proofErr w:type="spellStart"/>
      <w:r>
        <w:rPr>
          <w:i/>
          <w:sz w:val="29"/>
        </w:rPr>
        <w:t>Model</w:t>
      </w:r>
      <w:proofErr w:type="spellEnd"/>
    </w:p>
    <w:p w:rsidR="008A1EC1" w:rsidRDefault="006563A3">
      <w:pPr>
        <w:spacing w:after="12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43995" cy="5055"/>
                <wp:effectExtent l="0" t="0" r="0" b="0"/>
                <wp:docPr id="14098" name="Group 14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995" cy="5055"/>
                          <a:chOff x="0" y="0"/>
                          <a:chExt cx="5543995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98" style="width:436.535pt;height:0.398pt;mso-position-horizontal-relative:char;mso-position-vertical-relative:line" coordsize="55439,50">
                <v:shape id="Shape 12" style="position:absolute;width:55439;height:0;left:0;top:0;" coordsize="5543995,0" path="m0,0l554399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A1EC1" w:rsidRDefault="006563A3">
      <w:pPr>
        <w:spacing w:after="2699" w:line="259" w:lineRule="auto"/>
        <w:ind w:left="0" w:firstLine="0"/>
        <w:jc w:val="center"/>
      </w:pPr>
      <w:r>
        <w:rPr>
          <w:sz w:val="22"/>
        </w:rPr>
        <w:t>Departamento de Ingeniería – Pontificia Universidad Católica del Perú</w:t>
      </w:r>
    </w:p>
    <w:p w:rsidR="008A1EC1" w:rsidRDefault="006563A3">
      <w:pPr>
        <w:spacing w:after="0" w:line="259" w:lineRule="auto"/>
        <w:ind w:left="0" w:firstLine="0"/>
        <w:jc w:val="center"/>
      </w:pPr>
      <w:proofErr w:type="spellStart"/>
      <w:r>
        <w:rPr>
          <w:sz w:val="29"/>
        </w:rPr>
        <w:t>November</w:t>
      </w:r>
      <w:proofErr w:type="spellEnd"/>
      <w:r>
        <w:rPr>
          <w:sz w:val="29"/>
        </w:rPr>
        <w:t xml:space="preserve"> 2025</w:t>
      </w:r>
    </w:p>
    <w:p w:rsidR="008A1EC1" w:rsidRDefault="006563A3">
      <w:pPr>
        <w:spacing w:after="1014" w:line="265" w:lineRule="auto"/>
        <w:ind w:left="-5"/>
        <w:jc w:val="left"/>
      </w:pPr>
      <w:proofErr w:type="spellStart"/>
      <w:r>
        <w:rPr>
          <w:color w:val="002855"/>
          <w:sz w:val="34"/>
        </w:rPr>
        <w:lastRenderedPageBreak/>
        <w:t>List</w:t>
      </w:r>
      <w:proofErr w:type="spellEnd"/>
      <w:r>
        <w:rPr>
          <w:color w:val="002855"/>
          <w:sz w:val="34"/>
        </w:rPr>
        <w:t xml:space="preserve"> </w:t>
      </w:r>
      <w:proofErr w:type="spellStart"/>
      <w:r>
        <w:rPr>
          <w:color w:val="002855"/>
          <w:sz w:val="34"/>
        </w:rPr>
        <w:t>of</w:t>
      </w:r>
      <w:proofErr w:type="spellEnd"/>
      <w:r>
        <w:rPr>
          <w:color w:val="002855"/>
          <w:sz w:val="34"/>
        </w:rPr>
        <w:t xml:space="preserve"> Figures</w:t>
      </w:r>
    </w:p>
    <w:p w:rsidR="008A1EC1" w:rsidRDefault="006563A3">
      <w:pPr>
        <w:tabs>
          <w:tab w:val="center" w:pos="501"/>
          <w:tab w:val="center" w:pos="2211"/>
          <w:tab w:val="center" w:pos="5998"/>
          <w:tab w:val="right" w:pos="8731"/>
        </w:tabs>
        <w:spacing w:after="138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color w:val="002855"/>
        </w:rPr>
        <w:t>1.1</w:t>
      </w:r>
      <w:r>
        <w:rPr>
          <w:color w:val="002855"/>
        </w:rPr>
        <w:tab/>
        <w:t xml:space="preserve">INTISAT 3D </w:t>
      </w:r>
      <w:proofErr w:type="spellStart"/>
      <w:r>
        <w:rPr>
          <w:color w:val="002855"/>
        </w:rPr>
        <w:t>model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view</w:t>
      </w:r>
      <w:proofErr w:type="spellEnd"/>
      <w:r>
        <w:rPr>
          <w:color w:val="002855"/>
        </w:rPr>
        <w:t>.</w:t>
      </w:r>
      <w:r>
        <w:rPr>
          <w:color w:val="002855"/>
        </w:rPr>
        <w:tab/>
      </w:r>
      <w:r>
        <w:t>. . . . . . . . . . . . . . . . . . . . . . . . .</w:t>
      </w:r>
      <w:r>
        <w:tab/>
        <w:t>8</w:t>
      </w:r>
    </w:p>
    <w:p w:rsidR="008A1EC1" w:rsidRDefault="006563A3">
      <w:pPr>
        <w:tabs>
          <w:tab w:val="center" w:pos="501"/>
          <w:tab w:val="center" w:pos="2682"/>
          <w:tab w:val="center" w:pos="6460"/>
          <w:tab w:val="right" w:pos="8731"/>
        </w:tabs>
        <w:spacing w:after="337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color w:val="002855"/>
        </w:rPr>
        <w:t>1.2</w:t>
      </w:r>
      <w:r>
        <w:rPr>
          <w:color w:val="002855"/>
        </w:rPr>
        <w:tab/>
      </w:r>
      <w:proofErr w:type="spellStart"/>
      <w:r>
        <w:rPr>
          <w:color w:val="002855"/>
        </w:rPr>
        <w:t>Official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mission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patch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of</w:t>
      </w:r>
      <w:proofErr w:type="spellEnd"/>
      <w:r>
        <w:rPr>
          <w:color w:val="002855"/>
        </w:rPr>
        <w:t xml:space="preserve"> INTISAT.</w:t>
      </w:r>
      <w:r>
        <w:rPr>
          <w:color w:val="002855"/>
        </w:rPr>
        <w:tab/>
      </w:r>
      <w:r>
        <w:t>. . . . . . . . . . . . . . . . . . . .</w:t>
      </w:r>
      <w:r>
        <w:tab/>
        <w:t>10</w:t>
      </w:r>
    </w:p>
    <w:p w:rsidR="008A1EC1" w:rsidRDefault="006563A3">
      <w:pPr>
        <w:tabs>
          <w:tab w:val="center" w:pos="501"/>
          <w:tab w:val="center" w:pos="4568"/>
          <w:tab w:val="right" w:pos="8731"/>
        </w:tabs>
        <w:spacing w:after="138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color w:val="002855"/>
        </w:rPr>
        <w:t>3.1</w:t>
      </w:r>
      <w:r>
        <w:rPr>
          <w:color w:val="002855"/>
        </w:rPr>
        <w:tab/>
        <w:t xml:space="preserve">Diagrama de bloques general de la arquitectura del OBC. </w:t>
      </w:r>
      <w:r>
        <w:t>. . . . . . . .</w:t>
      </w:r>
      <w:r>
        <w:tab/>
        <w:t>16</w:t>
      </w:r>
    </w:p>
    <w:p w:rsidR="008A1EC1" w:rsidRDefault="006563A3">
      <w:pPr>
        <w:tabs>
          <w:tab w:val="center" w:pos="501"/>
          <w:tab w:val="center" w:pos="4568"/>
          <w:tab w:val="right" w:pos="8731"/>
        </w:tabs>
        <w:spacing w:after="138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color w:val="002855"/>
        </w:rPr>
        <w:t>3.2</w:t>
      </w:r>
      <w:r>
        <w:rPr>
          <w:color w:val="002855"/>
        </w:rPr>
        <w:tab/>
        <w:t>Flujogram</w:t>
      </w:r>
      <w:r>
        <w:rPr>
          <w:color w:val="002855"/>
        </w:rPr>
        <w:t xml:space="preserve">as del modo de operación del satélite. </w:t>
      </w:r>
      <w:r>
        <w:t xml:space="preserve">. . . . . . . . </w:t>
      </w:r>
      <w:proofErr w:type="gramStart"/>
      <w:r>
        <w:t>. . . .</w:t>
      </w:r>
      <w:proofErr w:type="gramEnd"/>
      <w:r>
        <w:t xml:space="preserve"> .</w:t>
      </w:r>
      <w:r>
        <w:tab/>
        <w:t>17</w:t>
      </w:r>
      <w:r>
        <w:br w:type="page"/>
      </w:r>
    </w:p>
    <w:p w:rsidR="008A1EC1" w:rsidRDefault="006563A3">
      <w:pPr>
        <w:spacing w:after="0" w:line="265" w:lineRule="auto"/>
        <w:ind w:left="-5"/>
        <w:jc w:val="left"/>
      </w:pPr>
      <w:proofErr w:type="spellStart"/>
      <w:r>
        <w:rPr>
          <w:color w:val="002855"/>
          <w:sz w:val="34"/>
        </w:rPr>
        <w:lastRenderedPageBreak/>
        <w:t>List</w:t>
      </w:r>
      <w:proofErr w:type="spellEnd"/>
      <w:r>
        <w:rPr>
          <w:color w:val="002855"/>
          <w:sz w:val="34"/>
        </w:rPr>
        <w:t xml:space="preserve"> </w:t>
      </w:r>
      <w:proofErr w:type="spellStart"/>
      <w:r>
        <w:rPr>
          <w:color w:val="002855"/>
          <w:sz w:val="34"/>
        </w:rPr>
        <w:t>of</w:t>
      </w:r>
      <w:proofErr w:type="spellEnd"/>
      <w:r>
        <w:rPr>
          <w:color w:val="002855"/>
          <w:sz w:val="34"/>
        </w:rPr>
        <w:t xml:space="preserve"> Tables</w:t>
      </w:r>
      <w:r>
        <w:br w:type="page"/>
      </w:r>
    </w:p>
    <w:p w:rsidR="008A1EC1" w:rsidRDefault="006563A3">
      <w:pPr>
        <w:spacing w:after="852" w:line="265" w:lineRule="auto"/>
        <w:ind w:left="-5"/>
        <w:jc w:val="left"/>
      </w:pPr>
      <w:proofErr w:type="spellStart"/>
      <w:r>
        <w:rPr>
          <w:color w:val="002855"/>
          <w:sz w:val="34"/>
        </w:rPr>
        <w:lastRenderedPageBreak/>
        <w:t>Nomenclature</w:t>
      </w:r>
      <w:proofErr w:type="spellEnd"/>
    </w:p>
    <w:p w:rsidR="008A1EC1" w:rsidRDefault="006563A3">
      <w:pPr>
        <w:tabs>
          <w:tab w:val="center" w:pos="2154"/>
        </w:tabs>
        <w:spacing w:after="11"/>
        <w:ind w:left="0" w:firstLine="0"/>
        <w:jc w:val="left"/>
      </w:pPr>
      <w:r>
        <w:t>OBC</w:t>
      </w:r>
      <w:r>
        <w:tab/>
      </w:r>
      <w:proofErr w:type="spellStart"/>
      <w:r>
        <w:t>On-Board</w:t>
      </w:r>
      <w:proofErr w:type="spellEnd"/>
      <w:r>
        <w:t xml:space="preserve"> </w:t>
      </w:r>
      <w:proofErr w:type="spellStart"/>
      <w:r>
        <w:t>Computer</w:t>
      </w:r>
      <w:proofErr w:type="spellEnd"/>
    </w:p>
    <w:p w:rsidR="008A1EC1" w:rsidRDefault="006563A3">
      <w:pPr>
        <w:tabs>
          <w:tab w:val="center" w:pos="2335"/>
        </w:tabs>
        <w:spacing w:after="11"/>
        <w:ind w:left="0" w:firstLine="0"/>
        <w:jc w:val="left"/>
      </w:pPr>
      <w:r>
        <w:t>EPS</w:t>
      </w:r>
      <w:r>
        <w:tab/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</w:t>
      </w:r>
      <w:proofErr w:type="spellEnd"/>
    </w:p>
    <w:p w:rsidR="008A1EC1" w:rsidRDefault="006563A3">
      <w:pPr>
        <w:tabs>
          <w:tab w:val="center" w:pos="2910"/>
        </w:tabs>
        <w:spacing w:after="11"/>
        <w:ind w:left="0" w:firstLine="0"/>
        <w:jc w:val="left"/>
      </w:pPr>
      <w:r>
        <w:t>TTC</w:t>
      </w:r>
      <w:r>
        <w:tab/>
      </w:r>
      <w:proofErr w:type="spellStart"/>
      <w:r>
        <w:t>Telemetry</w:t>
      </w:r>
      <w:proofErr w:type="spellEnd"/>
      <w:r>
        <w:t xml:space="preserve">, Tracking and </w:t>
      </w:r>
      <w:proofErr w:type="spellStart"/>
      <w:r>
        <w:t>Command</w:t>
      </w:r>
      <w:proofErr w:type="spellEnd"/>
    </w:p>
    <w:p w:rsidR="008A1EC1" w:rsidRDefault="006563A3">
      <w:pPr>
        <w:tabs>
          <w:tab w:val="center" w:pos="2271"/>
        </w:tabs>
        <w:spacing w:after="11"/>
        <w:ind w:left="0" w:firstLine="0"/>
        <w:jc w:val="left"/>
      </w:pPr>
      <w:r>
        <w:t>CDR</w:t>
      </w:r>
      <w:r>
        <w:tab/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Review</w:t>
      </w:r>
      <w:proofErr w:type="spellEnd"/>
    </w:p>
    <w:p w:rsidR="008A1EC1" w:rsidRDefault="006563A3">
      <w:pPr>
        <w:tabs>
          <w:tab w:val="center" w:pos="3155"/>
        </w:tabs>
        <w:spacing w:after="11"/>
        <w:ind w:left="0" w:firstLine="0"/>
        <w:jc w:val="left"/>
      </w:pPr>
      <w:r>
        <w:t>PUCP</w:t>
      </w:r>
      <w:r>
        <w:tab/>
        <w:t>Pontificia Universidad Católica del Perú</w:t>
      </w:r>
    </w:p>
    <w:p w:rsidR="008A1EC1" w:rsidRDefault="006563A3">
      <w:pPr>
        <w:tabs>
          <w:tab w:val="center" w:pos="2604"/>
        </w:tabs>
        <w:ind w:left="0" w:firstLine="0"/>
        <w:jc w:val="left"/>
      </w:pPr>
      <w:r>
        <w:t>INRAS</w:t>
      </w:r>
      <w:r>
        <w:tab/>
        <w:t>Instituto de Radioastronomía</w:t>
      </w:r>
      <w:r>
        <w:br w:type="page"/>
      </w:r>
    </w:p>
    <w:p w:rsidR="008A1EC1" w:rsidRDefault="006563A3">
      <w:pPr>
        <w:spacing w:after="817" w:line="265" w:lineRule="auto"/>
        <w:ind w:left="-5"/>
        <w:jc w:val="left"/>
      </w:pPr>
      <w:proofErr w:type="spellStart"/>
      <w:r>
        <w:rPr>
          <w:color w:val="002855"/>
          <w:sz w:val="34"/>
        </w:rPr>
        <w:lastRenderedPageBreak/>
        <w:t>Contents</w:t>
      </w:r>
      <w:proofErr w:type="spellEnd"/>
    </w:p>
    <w:p w:rsidR="008A1EC1" w:rsidRDefault="006563A3">
      <w:pPr>
        <w:tabs>
          <w:tab w:val="right" w:pos="8731"/>
        </w:tabs>
        <w:spacing w:after="160" w:line="259" w:lineRule="auto"/>
        <w:ind w:left="0" w:firstLine="0"/>
        <w:jc w:val="left"/>
      </w:pPr>
      <w:proofErr w:type="spellStart"/>
      <w:r>
        <w:rPr>
          <w:color w:val="002855"/>
        </w:rPr>
        <w:t>Nomenclature</w:t>
      </w:r>
      <w:proofErr w:type="spellEnd"/>
      <w:r>
        <w:rPr>
          <w:color w:val="002855"/>
        </w:rPr>
        <w:tab/>
      </w:r>
      <w:r>
        <w:t>3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proofErr w:type="spellStart"/>
      <w:r>
        <w:rPr>
          <w:color w:val="002855"/>
        </w:rPr>
        <w:t>Introduction</w:t>
      </w:r>
      <w:proofErr w:type="spellEnd"/>
      <w:r>
        <w:rPr>
          <w:color w:val="002855"/>
        </w:rPr>
        <w:tab/>
      </w:r>
      <w:r>
        <w:t>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proofErr w:type="spellStart"/>
      <w:r>
        <w:rPr>
          <w:color w:val="002855"/>
        </w:rPr>
        <w:t>Mission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Description</w:t>
      </w:r>
      <w:proofErr w:type="spellEnd"/>
      <w:r>
        <w:rPr>
          <w:color w:val="002855"/>
        </w:rPr>
        <w:t xml:space="preserve"> </w:t>
      </w:r>
      <w:r>
        <w:t xml:space="preserve">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proofErr w:type="spellStart"/>
      <w:r>
        <w:rPr>
          <w:color w:val="002855"/>
        </w:rPr>
        <w:t>Mission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Objectives</w:t>
      </w:r>
      <w:proofErr w:type="spellEnd"/>
      <w:r>
        <w:rPr>
          <w:color w:val="002855"/>
        </w:rPr>
        <w:tab/>
      </w:r>
      <w:r>
        <w:t xml:space="preserve">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9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Concept </w:t>
      </w:r>
      <w:proofErr w:type="spellStart"/>
      <w:r>
        <w:rPr>
          <w:color w:val="002855"/>
        </w:rPr>
        <w:t>of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Operations</w:t>
      </w:r>
      <w:proofErr w:type="spellEnd"/>
      <w:r>
        <w:rPr>
          <w:color w:val="002855"/>
        </w:rPr>
        <w:t xml:space="preserve"> (</w:t>
      </w:r>
      <w:proofErr w:type="spellStart"/>
      <w:r>
        <w:rPr>
          <w:color w:val="002855"/>
        </w:rPr>
        <w:t>ConOps</w:t>
      </w:r>
      <w:proofErr w:type="spellEnd"/>
      <w:r>
        <w:rPr>
          <w:color w:val="002855"/>
        </w:rPr>
        <w:t>)</w:t>
      </w:r>
      <w:r>
        <w:rPr>
          <w:color w:val="002855"/>
        </w:rPr>
        <w:tab/>
      </w:r>
      <w:r>
        <w:t>. . . . . . . . . . . . . . . . . . . . .</w:t>
      </w:r>
      <w:r>
        <w:tab/>
        <w:t>9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Project </w:t>
      </w:r>
      <w:proofErr w:type="spellStart"/>
      <w:r>
        <w:rPr>
          <w:color w:val="002855"/>
        </w:rPr>
        <w:t>Members</w:t>
      </w:r>
      <w:proofErr w:type="spellEnd"/>
      <w:r>
        <w:rPr>
          <w:color w:val="002855"/>
        </w:rPr>
        <w:t xml:space="preserve"> </w:t>
      </w:r>
      <w:r>
        <w:t>. . . . . . . . . . . . . . . . . . . . . . . . . . . . . .</w:t>
      </w:r>
      <w:r>
        <w:tab/>
        <w:t>9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proofErr w:type="spellStart"/>
      <w:r>
        <w:rPr>
          <w:color w:val="002855"/>
        </w:rPr>
        <w:t>Mission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Patch</w:t>
      </w:r>
      <w:proofErr w:type="spellEnd"/>
      <w:r>
        <w:rPr>
          <w:color w:val="002855"/>
        </w:rPr>
        <w:t xml:space="preserve"> </w:t>
      </w:r>
      <w:r>
        <w:t xml:space="preserve">. . . 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10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Arquitectura del Siste</w:t>
      </w:r>
      <w:r>
        <w:rPr>
          <w:color w:val="002855"/>
        </w:rPr>
        <w:t>ma</w:t>
      </w:r>
      <w:r>
        <w:rPr>
          <w:color w:val="002855"/>
        </w:rPr>
        <w:tab/>
      </w:r>
      <w:r>
        <w:t>11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Visión general del sistema</w:t>
      </w:r>
      <w:r>
        <w:rPr>
          <w:color w:val="002855"/>
        </w:rPr>
        <w:tab/>
      </w:r>
      <w:r>
        <w:t xml:space="preserve">. . . . . . . . . . . . . . . . . . . . . </w:t>
      </w:r>
      <w:proofErr w:type="gramStart"/>
      <w:r>
        <w:t>. . . .</w:t>
      </w:r>
      <w:proofErr w:type="gramEnd"/>
      <w:r>
        <w:tab/>
        <w:t>11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Diagrama de Potencia</w:t>
      </w:r>
      <w:r>
        <w:rPr>
          <w:color w:val="002855"/>
        </w:rPr>
        <w:tab/>
      </w:r>
      <w:r>
        <w:t xml:space="preserve">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11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Diagrama de Flujo de Datos </w:t>
      </w:r>
      <w:r>
        <w:t xml:space="preserve">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11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Presupuestos Técnicos y Análisis de Misión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12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Parámetros de Órbita y Vida Útil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Presupuesto de Masa (</w:t>
      </w:r>
      <w:proofErr w:type="spellStart"/>
      <w:r>
        <w:rPr>
          <w:color w:val="002855"/>
        </w:rPr>
        <w:t>Mass</w:t>
      </w:r>
      <w:proofErr w:type="spellEnd"/>
      <w:r>
        <w:rPr>
          <w:color w:val="002855"/>
        </w:rPr>
        <w:t xml:space="preserve"> Budget) </w:t>
      </w:r>
      <w:r>
        <w:t>. . . . . . . . . . . . . . .</w:t>
      </w:r>
      <w:r>
        <w:tab/>
        <w:t>12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Presupuesto de Potencia (</w:t>
      </w:r>
      <w:proofErr w:type="spellStart"/>
      <w:r>
        <w:rPr>
          <w:color w:val="002855"/>
        </w:rPr>
        <w:t>Power</w:t>
      </w:r>
      <w:proofErr w:type="spellEnd"/>
      <w:r>
        <w:rPr>
          <w:color w:val="002855"/>
        </w:rPr>
        <w:t xml:space="preserve"> Budget) </w:t>
      </w:r>
      <w:r>
        <w:t xml:space="preserve">. </w:t>
      </w:r>
      <w:r>
        <w:t xml:space="preserve">. . . . . . . . </w:t>
      </w:r>
      <w:proofErr w:type="gramStart"/>
      <w:r>
        <w:t>. . . .</w:t>
      </w:r>
      <w:proofErr w:type="gramEnd"/>
      <w:r>
        <w:tab/>
        <w:t>12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Cálculo de Enlace (Link Budget)</w:t>
      </w:r>
      <w:r>
        <w:rPr>
          <w:color w:val="002855"/>
        </w:rPr>
        <w:tab/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Documento de Control de Interfaces (ICD)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12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Interface Data </w:t>
      </w:r>
      <w:proofErr w:type="spellStart"/>
      <w:r>
        <w:rPr>
          <w:color w:val="002855"/>
        </w:rPr>
        <w:t>Sheet</w:t>
      </w:r>
      <w:proofErr w:type="spellEnd"/>
      <w:r>
        <w:rPr>
          <w:color w:val="002855"/>
        </w:rPr>
        <w:t xml:space="preserve"> y </w:t>
      </w:r>
      <w:proofErr w:type="spellStart"/>
      <w:r>
        <w:rPr>
          <w:color w:val="002855"/>
        </w:rPr>
        <w:t>Form</w:t>
      </w:r>
      <w:proofErr w:type="spellEnd"/>
      <w:r>
        <w:rPr>
          <w:color w:val="002855"/>
        </w:rPr>
        <w:t xml:space="preserve"> Factor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12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OBC – Computad</w:t>
      </w:r>
      <w:r>
        <w:rPr>
          <w:color w:val="002855"/>
        </w:rPr>
        <w:t>ora de a Bordo</w:t>
      </w:r>
      <w:r>
        <w:rPr>
          <w:color w:val="002855"/>
        </w:rPr>
        <w:tab/>
      </w:r>
      <w:r>
        <w:t>13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Diseño de Hardware y Arquitectura Central (OBDH) </w:t>
      </w:r>
      <w:r>
        <w:t xml:space="preserve">. . . . . . </w:t>
      </w:r>
      <w:proofErr w:type="gramStart"/>
      <w:r>
        <w:t>. . . .</w:t>
      </w:r>
      <w:proofErr w:type="gramEnd"/>
      <w:r>
        <w:tab/>
        <w:t>13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Esquema de Memorias y Almacenamiento</w:t>
      </w:r>
      <w:r>
        <w:rPr>
          <w:color w:val="002855"/>
        </w:rPr>
        <w:tab/>
      </w:r>
      <w:r>
        <w:t>. . . . . . . . . . . .</w:t>
      </w:r>
      <w:r>
        <w:tab/>
        <w:t>13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Monitoreo Interno y Sensores</w:t>
      </w:r>
      <w:r>
        <w:rPr>
          <w:color w:val="002855"/>
        </w:rPr>
        <w:tab/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13</w:t>
      </w:r>
    </w:p>
    <w:p w:rsidR="008A1EC1" w:rsidRDefault="008A1EC1">
      <w:pPr>
        <w:sectPr w:rsidR="008A1E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3630" w:right="1587" w:bottom="1017" w:left="1587" w:header="720" w:footer="720" w:gutter="0"/>
          <w:pgNumType w:start="0"/>
          <w:cols w:space="720"/>
          <w:titlePg/>
        </w:sectPr>
      </w:pPr>
    </w:p>
    <w:p w:rsidR="008A1EC1" w:rsidRDefault="008A1EC1">
      <w:pPr>
        <w:spacing w:after="0" w:line="259" w:lineRule="auto"/>
        <w:ind w:left="-1587" w:right="10318" w:firstLine="0"/>
        <w:jc w:val="left"/>
      </w:pP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Capa de Aislamiento e Interfaz de Comunicaciones</w:t>
      </w:r>
      <w:r>
        <w:rPr>
          <w:color w:val="002855"/>
        </w:rPr>
        <w:tab/>
      </w:r>
      <w:r>
        <w:t xml:space="preserve">. . . . . . </w:t>
      </w:r>
      <w:proofErr w:type="gramStart"/>
      <w:r>
        <w:t>. . . .</w:t>
      </w:r>
      <w:proofErr w:type="gramEnd"/>
      <w:r>
        <w:t xml:space="preserve"> .</w:t>
      </w:r>
      <w:r>
        <w:tab/>
        <w:t>14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Máquina de Estados y Modos de Operación</w:t>
      </w:r>
      <w:r>
        <w:rPr>
          <w:color w:val="002855"/>
        </w:rPr>
        <w:tab/>
      </w:r>
      <w:r>
        <w:t>. . . . . . . . . . . . . . .</w:t>
      </w:r>
      <w:r>
        <w:tab/>
        <w:t>14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Modo Inicio (</w:t>
      </w:r>
      <w:proofErr w:type="spellStart"/>
      <w:r>
        <w:rPr>
          <w:color w:val="002855"/>
        </w:rPr>
        <w:t>Deployment</w:t>
      </w:r>
      <w:proofErr w:type="spellEnd"/>
      <w:r>
        <w:rPr>
          <w:color w:val="002855"/>
        </w:rPr>
        <w:t xml:space="preserve"> y Vuelo Temprano)</w:t>
      </w:r>
      <w:r>
        <w:rPr>
          <w:color w:val="002855"/>
        </w:rPr>
        <w:tab/>
      </w:r>
      <w:r>
        <w:t xml:space="preserve">. . . . . . </w:t>
      </w:r>
      <w:proofErr w:type="gramStart"/>
      <w:r>
        <w:t>. . . .</w:t>
      </w:r>
      <w:proofErr w:type="gramEnd"/>
      <w:r>
        <w:tab/>
        <w:t>14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Modo Rutina (Operación Nominal)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15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Modo de Seguridad (</w:t>
      </w:r>
      <w:proofErr w:type="spellStart"/>
      <w:r>
        <w:rPr>
          <w:color w:val="002855"/>
        </w:rPr>
        <w:t>Safe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Mode</w:t>
      </w:r>
      <w:proofErr w:type="spellEnd"/>
      <w:r>
        <w:rPr>
          <w:color w:val="002855"/>
        </w:rPr>
        <w:t xml:space="preserve">) </w:t>
      </w:r>
      <w:r>
        <w:t>. . . . . . . . . . . . . . . . . .</w:t>
      </w:r>
      <w:r>
        <w:tab/>
        <w:t>15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EPS – Sistema de Energ</w:t>
      </w:r>
      <w:r>
        <w:rPr>
          <w:color w:val="002855"/>
        </w:rPr>
        <w:t>ía</w:t>
      </w:r>
      <w:r>
        <w:rPr>
          <w:color w:val="002855"/>
        </w:rPr>
        <w:tab/>
      </w:r>
      <w:r>
        <w:t>18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Visión general del Subsistema </w:t>
      </w:r>
      <w:r>
        <w:t xml:space="preserve">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Generación de Energía (Paneles Solares)</w:t>
      </w:r>
      <w:r>
        <w:rPr>
          <w:color w:val="002855"/>
        </w:rPr>
        <w:tab/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18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Almacenamiento y Capacidad (</w:t>
      </w:r>
      <w:proofErr w:type="spellStart"/>
      <w:r>
        <w:rPr>
          <w:color w:val="002855"/>
        </w:rPr>
        <w:t>Battery</w:t>
      </w:r>
      <w:proofErr w:type="spellEnd"/>
      <w:r>
        <w:rPr>
          <w:color w:val="002855"/>
        </w:rPr>
        <w:t xml:space="preserve"> Module) </w:t>
      </w:r>
      <w:r>
        <w:t xml:space="preserve">. . . . . . . . . </w:t>
      </w:r>
      <w:proofErr w:type="gramStart"/>
      <w:r>
        <w:t>. . . .</w:t>
      </w:r>
      <w:proofErr w:type="gramEnd"/>
      <w:r>
        <w:tab/>
        <w:t>18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Acondicionamiento, Distribución y Seguridad </w:t>
      </w:r>
      <w:r>
        <w:t>. . . . . . . . . . . . . . .</w:t>
      </w:r>
      <w:r>
        <w:tab/>
        <w:t>19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ADCS – Control y Determinación de Actitud</w:t>
      </w:r>
      <w:r>
        <w:rPr>
          <w:color w:val="002855"/>
        </w:rPr>
        <w:tab/>
      </w:r>
      <w:r>
        <w:t>20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Introducción al Control de Posición Orbital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20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Esquema Pasivo y Dinámico de Actitud </w:t>
      </w:r>
      <w:r>
        <w:t xml:space="preserve">. . . . . . . . . </w:t>
      </w:r>
      <w:r>
        <w:t>. . . . . . . . .</w:t>
      </w:r>
      <w:r>
        <w:tab/>
        <w:t>20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Estabilización Magnética Pasiva y Materiales </w:t>
      </w:r>
      <w:r>
        <w:t xml:space="preserve">. . . . . . </w:t>
      </w:r>
      <w:proofErr w:type="gramStart"/>
      <w:r>
        <w:t>. . . .</w:t>
      </w:r>
      <w:proofErr w:type="gramEnd"/>
      <w:r>
        <w:t xml:space="preserve"> .</w:t>
      </w:r>
      <w:r>
        <w:tab/>
        <w:t>20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Gestión Activa y Módulos de Sensores</w:t>
      </w:r>
      <w:r>
        <w:rPr>
          <w:color w:val="002855"/>
        </w:rPr>
        <w:tab/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20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TTC – Telecomunicaciones</w:t>
      </w:r>
      <w:r>
        <w:rPr>
          <w:color w:val="002855"/>
        </w:rPr>
        <w:tab/>
      </w:r>
      <w:r>
        <w:t>22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Módulo de Rastreo, Telemetría y Comandos (TTC) </w:t>
      </w:r>
      <w:r>
        <w:t xml:space="preserve">. . . . . . </w:t>
      </w:r>
      <w:proofErr w:type="gramStart"/>
      <w:r>
        <w:t>. . . .</w:t>
      </w:r>
      <w:proofErr w:type="gramEnd"/>
      <w:r>
        <w:t xml:space="preserve"> .</w:t>
      </w:r>
      <w:r>
        <w:tab/>
      </w:r>
      <w:r>
        <w:t>22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Arquitectura de Transmisión LEO </w:t>
      </w:r>
      <w:r>
        <w:t>. . . . . . . . . . . . . . . . . . . . .</w:t>
      </w:r>
      <w:r>
        <w:tab/>
        <w:t>22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Enlaces UHF/VHF y Segmentación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22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Antenas y Mecanismos de Despliegue Eléctrico </w:t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23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Arquitectura Fija y Retención Balí</w:t>
      </w:r>
      <w:r>
        <w:rPr>
          <w:color w:val="002855"/>
        </w:rPr>
        <w:t xml:space="preserve">stica </w:t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23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Secuencia de Encendido Activo</w:t>
      </w:r>
      <w:r>
        <w:rPr>
          <w:color w:val="002855"/>
        </w:rPr>
        <w:tab/>
      </w:r>
      <w:r>
        <w:t>. . . . . . . . . . . . . . . . . .</w:t>
      </w:r>
      <w:r>
        <w:tab/>
        <w:t>23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Cargas Útiles (</w:t>
      </w:r>
      <w:proofErr w:type="spellStart"/>
      <w:r>
        <w:rPr>
          <w:color w:val="002855"/>
        </w:rPr>
        <w:t>Payloads</w:t>
      </w:r>
      <w:proofErr w:type="spellEnd"/>
      <w:r>
        <w:rPr>
          <w:color w:val="002855"/>
        </w:rPr>
        <w:t>)</w:t>
      </w:r>
      <w:r>
        <w:rPr>
          <w:color w:val="002855"/>
        </w:rPr>
        <w:tab/>
      </w:r>
      <w:r>
        <w:t>24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Descripción Estratégica de los Instrumentos</w:t>
      </w:r>
      <w:r>
        <w:rPr>
          <w:color w:val="002855"/>
        </w:rPr>
        <w:tab/>
      </w:r>
      <w:r>
        <w:t>. . . . . . . . . . . . . . .</w:t>
      </w:r>
      <w:r>
        <w:tab/>
        <w:t>24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Microscopía Computacional CMOS </w:t>
      </w:r>
      <w:r>
        <w:t xml:space="preserve">. . . . . . . </w:t>
      </w:r>
      <w:r>
        <w:t xml:space="preserve">. . . . . . . . </w:t>
      </w:r>
      <w:proofErr w:type="gramStart"/>
      <w:r>
        <w:t>. . . .</w:t>
      </w:r>
      <w:proofErr w:type="gramEnd"/>
      <w:r>
        <w:t xml:space="preserve"> .</w:t>
      </w:r>
      <w:r>
        <w:tab/>
        <w:t>24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Arquitectura General </w:t>
      </w:r>
      <w:r>
        <w:t>. . . . . . . . . . . . . . . . . . . . . . . .</w:t>
      </w:r>
      <w:r>
        <w:tab/>
        <w:t>24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Bloque de Adquisición Óptica (Configuración </w:t>
      </w:r>
      <w:proofErr w:type="spellStart"/>
      <w:r>
        <w:rPr>
          <w:i/>
          <w:color w:val="002855"/>
        </w:rPr>
        <w:t>Lensless</w:t>
      </w:r>
      <w:proofErr w:type="spellEnd"/>
      <w:r>
        <w:rPr>
          <w:color w:val="002855"/>
        </w:rPr>
        <w:t xml:space="preserve">) </w:t>
      </w:r>
      <w:proofErr w:type="gramStart"/>
      <w:r>
        <w:t>. . . .</w:t>
      </w:r>
      <w:proofErr w:type="gramEnd"/>
      <w:r>
        <w:t xml:space="preserve"> .</w:t>
      </w:r>
      <w:r>
        <w:tab/>
        <w:t>24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lastRenderedPageBreak/>
        <w:t xml:space="preserve">Bloque de Iluminación </w:t>
      </w:r>
      <w:r>
        <w:t xml:space="preserve">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25</w:t>
      </w:r>
    </w:p>
    <w:p w:rsidR="008A1EC1" w:rsidRDefault="008A1EC1">
      <w:pPr>
        <w:spacing w:after="0" w:line="259" w:lineRule="auto"/>
        <w:ind w:left="-1587" w:right="10318" w:firstLine="0"/>
        <w:jc w:val="left"/>
      </w:pP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Metodología de Validación y Metrología</w:t>
      </w:r>
      <w:r>
        <w:rPr>
          <w:color w:val="002855"/>
        </w:rPr>
        <w:tab/>
      </w:r>
      <w:r>
        <w:t xml:space="preserve">. . . . . . . . . </w:t>
      </w:r>
      <w:proofErr w:type="gramStart"/>
      <w:r>
        <w:t>. . . .</w:t>
      </w:r>
      <w:proofErr w:type="gramEnd"/>
      <w:r>
        <w:tab/>
        <w:t>25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Control y Procesamiento de Datos </w:t>
      </w:r>
      <w:r>
        <w:t>. . . . . . . . . . . . . . . . . . . . .</w:t>
      </w:r>
      <w:r>
        <w:tab/>
        <w:t>25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Aceleración IA en Órbita </w:t>
      </w:r>
      <w:r>
        <w:t xml:space="preserve">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25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Estructura, Mecánica y Compone</w:t>
      </w:r>
      <w:r>
        <w:rPr>
          <w:color w:val="002855"/>
        </w:rPr>
        <w:t>ntes Térmicos</w:t>
      </w:r>
      <w:r>
        <w:rPr>
          <w:color w:val="002855"/>
        </w:rPr>
        <w:tab/>
      </w:r>
      <w:r>
        <w:t>26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Diseño Estructural General Modular</w:t>
      </w:r>
      <w:r>
        <w:rPr>
          <w:color w:val="002855"/>
        </w:rPr>
        <w:tab/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26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Diseño Estructural y Requerimientos de Masa </w:t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26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Propiedades de Aleación Aeronáutica </w:t>
      </w:r>
      <w:r>
        <w:t>. . . . . . . . . . . . . . .</w:t>
      </w:r>
      <w:r>
        <w:tab/>
        <w:t>26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Estandarización de </w:t>
      </w:r>
      <w:r>
        <w:rPr>
          <w:color w:val="002855"/>
        </w:rPr>
        <w:t>Geometría y Tolerancia del CG</w:t>
      </w:r>
      <w:r>
        <w:rPr>
          <w:color w:val="002855"/>
        </w:rPr>
        <w:tab/>
      </w:r>
      <w:r>
        <w:t xml:space="preserve">. . . </w:t>
      </w:r>
      <w:proofErr w:type="gramStart"/>
      <w:r>
        <w:t>. . . .</w:t>
      </w:r>
      <w:proofErr w:type="gramEnd"/>
      <w:r>
        <w:tab/>
        <w:t>26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Simulación y Análisis de Elementos Finitos (FEA) </w:t>
      </w:r>
      <w:r>
        <w:t>. . . . . . . . . . . .</w:t>
      </w:r>
      <w:r>
        <w:tab/>
        <w:t>27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Control Térmico</w:t>
      </w:r>
      <w:r>
        <w:rPr>
          <w:color w:val="002855"/>
        </w:rPr>
        <w:tab/>
      </w:r>
      <w:r>
        <w:t>28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Mecanismos de Control Térmico LEO </w:t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28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Control Pasivo (Recubrimientos Ópticos </w:t>
      </w:r>
      <w:r>
        <w:rPr>
          <w:color w:val="002855"/>
        </w:rPr>
        <w:t>y Masa)</w:t>
      </w:r>
      <w:r>
        <w:rPr>
          <w:color w:val="002855"/>
        </w:rPr>
        <w:tab/>
      </w:r>
      <w:r>
        <w:t xml:space="preserve">. . . </w:t>
      </w:r>
      <w:proofErr w:type="gramStart"/>
      <w:r>
        <w:t>. . . .</w:t>
      </w:r>
      <w:proofErr w:type="gramEnd"/>
      <w:r>
        <w:t xml:space="preserve"> .</w:t>
      </w:r>
      <w:r>
        <w:tab/>
        <w:t>28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Control Activo (Integración EPS y OBC) </w:t>
      </w:r>
      <w:r>
        <w:t xml:space="preserve">. . . . . . . . . </w:t>
      </w:r>
      <w:proofErr w:type="gramStart"/>
      <w:r>
        <w:t>. . . .</w:t>
      </w:r>
      <w:proofErr w:type="gramEnd"/>
      <w:r>
        <w:tab/>
        <w:t>28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Campaña de Pruebas Térmicas (AIT) </w:t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29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Ciclos Térmicos (</w:t>
      </w:r>
      <w:proofErr w:type="spellStart"/>
      <w:r>
        <w:rPr>
          <w:color w:val="002855"/>
        </w:rPr>
        <w:t>Thermal</w:t>
      </w:r>
      <w:proofErr w:type="spellEnd"/>
      <w:r>
        <w:rPr>
          <w:color w:val="002855"/>
        </w:rPr>
        <w:t xml:space="preserve"> </w:t>
      </w:r>
      <w:proofErr w:type="spellStart"/>
      <w:r>
        <w:rPr>
          <w:color w:val="002855"/>
        </w:rPr>
        <w:t>Cycling</w:t>
      </w:r>
      <w:proofErr w:type="spellEnd"/>
      <w:r>
        <w:rPr>
          <w:color w:val="002855"/>
        </w:rPr>
        <w:t xml:space="preserve">) </w:t>
      </w:r>
      <w:r>
        <w:t xml:space="preserve">. . . . . . . . . . . . </w:t>
      </w:r>
      <w:proofErr w:type="gramStart"/>
      <w:r>
        <w:t>. . . .</w:t>
      </w:r>
      <w:proofErr w:type="gramEnd"/>
      <w:r>
        <w:tab/>
        <w:t>29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Prueba de Vacío T</w:t>
      </w:r>
      <w:r>
        <w:rPr>
          <w:color w:val="002855"/>
        </w:rPr>
        <w:t>érmico (</w:t>
      </w:r>
      <w:proofErr w:type="spellStart"/>
      <w:r>
        <w:rPr>
          <w:color w:val="002855"/>
        </w:rPr>
        <w:t>Bake-Out</w:t>
      </w:r>
      <w:proofErr w:type="spellEnd"/>
      <w:r>
        <w:rPr>
          <w:color w:val="002855"/>
        </w:rPr>
        <w:t xml:space="preserve"> LEO) </w:t>
      </w:r>
      <w:r>
        <w:t>. . . . . . . . . . . .</w:t>
      </w:r>
      <w:r>
        <w:tab/>
        <w:t>29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Segmento Tierra</w:t>
      </w:r>
      <w:r>
        <w:rPr>
          <w:color w:val="002855"/>
        </w:rPr>
        <w:tab/>
      </w:r>
      <w:r>
        <w:t>30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Misión Operacional en Tierra INRAS </w:t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30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Arquitectura de la Estación Terrena, Control y Monitoreo</w:t>
      </w:r>
      <w:r>
        <w:rPr>
          <w:color w:val="002855"/>
        </w:rPr>
        <w:tab/>
      </w:r>
      <w:r>
        <w:t xml:space="preserve">. . . </w:t>
      </w:r>
      <w:proofErr w:type="gramStart"/>
      <w:r>
        <w:t>. . . .</w:t>
      </w:r>
      <w:proofErr w:type="gramEnd"/>
      <w:r>
        <w:tab/>
        <w:t>30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Ciclo Operacional Terrestre Lógico (</w:t>
      </w:r>
      <w:proofErr w:type="spellStart"/>
      <w:r>
        <w:rPr>
          <w:color w:val="002855"/>
        </w:rPr>
        <w:t>Op</w:t>
      </w:r>
      <w:r>
        <w:rPr>
          <w:color w:val="002855"/>
        </w:rPr>
        <w:t>s</w:t>
      </w:r>
      <w:proofErr w:type="spellEnd"/>
      <w:r>
        <w:rPr>
          <w:color w:val="002855"/>
        </w:rPr>
        <w:t xml:space="preserve">)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31</w:t>
      </w:r>
    </w:p>
    <w:p w:rsidR="008A1EC1" w:rsidRDefault="006563A3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color w:val="002855"/>
        </w:rPr>
        <w:t>Integración, Verificación y Validación (AIT)</w:t>
      </w:r>
      <w:r>
        <w:rPr>
          <w:color w:val="002855"/>
        </w:rPr>
        <w:tab/>
      </w:r>
      <w:r>
        <w:t>32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>Definición Global de la Campaña AIT</w:t>
      </w:r>
      <w:r>
        <w:rPr>
          <w:color w:val="002855"/>
        </w:rPr>
        <w:tab/>
      </w:r>
      <w:r>
        <w:t>. . . . . . . . . . . . . . . . . .</w:t>
      </w:r>
      <w:r>
        <w:tab/>
        <w:t>32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Instrucciones de Ensamblaje y </w:t>
      </w:r>
      <w:proofErr w:type="spellStart"/>
      <w:r>
        <w:rPr>
          <w:color w:val="002855"/>
        </w:rPr>
        <w:t>FlatSat</w:t>
      </w:r>
      <w:proofErr w:type="spellEnd"/>
      <w:r>
        <w:rPr>
          <w:color w:val="002855"/>
        </w:rPr>
        <w:tab/>
      </w:r>
      <w:r>
        <w:t>. . . . . . . . . . . . . . . . . .</w:t>
      </w:r>
      <w:r>
        <w:tab/>
        <w:t>32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proofErr w:type="spellStart"/>
      <w:r>
        <w:rPr>
          <w:color w:val="002855"/>
        </w:rPr>
        <w:t>FlatSat</w:t>
      </w:r>
      <w:proofErr w:type="spellEnd"/>
      <w:r>
        <w:rPr>
          <w:color w:val="002855"/>
        </w:rPr>
        <w:t xml:space="preserve"> (Pruebas sobre mesa) </w:t>
      </w:r>
      <w:r>
        <w:t xml:space="preserve">. . . . . . . . . . . . . . . </w:t>
      </w:r>
      <w:proofErr w:type="gramStart"/>
      <w:r>
        <w:t>. . . .</w:t>
      </w:r>
      <w:proofErr w:type="gramEnd"/>
      <w:r>
        <w:tab/>
        <w:t>32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 xml:space="preserve">Procedimiento de Integración Mecánica </w:t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32</w:t>
      </w:r>
    </w:p>
    <w:p w:rsidR="008A1EC1" w:rsidRDefault="006563A3">
      <w:pPr>
        <w:numPr>
          <w:ilvl w:val="1"/>
          <w:numId w:val="1"/>
        </w:numPr>
        <w:spacing w:after="160" w:line="259" w:lineRule="auto"/>
        <w:ind w:firstLine="0"/>
        <w:jc w:val="left"/>
      </w:pPr>
      <w:r>
        <w:rPr>
          <w:color w:val="002855"/>
        </w:rPr>
        <w:t xml:space="preserve">Plan de pruebas físicas y validación ambiental </w:t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32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lastRenderedPageBreak/>
        <w:t>Pruebas Físico-Mecánicas</w:t>
      </w:r>
      <w:r>
        <w:rPr>
          <w:color w:val="002855"/>
        </w:rPr>
        <w:tab/>
      </w:r>
      <w:r>
        <w:t xml:space="preserve">. . . . . . . </w:t>
      </w:r>
      <w:r>
        <w:t>. . . . . . . . . . . . . .</w:t>
      </w:r>
      <w:r>
        <w:tab/>
        <w:t>32</w:t>
      </w:r>
    </w:p>
    <w:p w:rsidR="008A1EC1" w:rsidRDefault="006563A3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rPr>
          <w:color w:val="002855"/>
        </w:rPr>
        <w:t>Pruebas de Ambiente Espacial y EMC</w:t>
      </w:r>
      <w:r>
        <w:rPr>
          <w:color w:val="002855"/>
        </w:rPr>
        <w:tab/>
      </w:r>
      <w:r>
        <w:t xml:space="preserve">. . . . . . . . . </w:t>
      </w:r>
      <w:proofErr w:type="gramStart"/>
      <w:r>
        <w:t>. . . .</w:t>
      </w:r>
      <w:proofErr w:type="gramEnd"/>
      <w:r>
        <w:t xml:space="preserve"> .</w:t>
      </w:r>
      <w:r>
        <w:tab/>
        <w:t>33</w:t>
      </w:r>
    </w:p>
    <w:p w:rsidR="008A1EC1" w:rsidRDefault="006563A3">
      <w:pPr>
        <w:numPr>
          <w:ilvl w:val="0"/>
          <w:numId w:val="1"/>
        </w:numPr>
        <w:spacing w:after="143" w:line="265" w:lineRule="auto"/>
        <w:ind w:hanging="351"/>
        <w:jc w:val="left"/>
      </w:pPr>
      <w:r>
        <w:rPr>
          <w:color w:val="002855"/>
        </w:rPr>
        <w:t>Gestión de la Misión y del Proyecto</w:t>
      </w:r>
      <w:r>
        <w:rPr>
          <w:color w:val="002855"/>
        </w:rPr>
        <w:tab/>
      </w:r>
      <w:r>
        <w:t>34</w:t>
      </w:r>
    </w:p>
    <w:p w:rsidR="008A1EC1" w:rsidRDefault="006563A3">
      <w:pPr>
        <w:numPr>
          <w:ilvl w:val="1"/>
          <w:numId w:val="1"/>
        </w:numPr>
        <w:spacing w:after="264" w:line="372" w:lineRule="auto"/>
        <w:ind w:firstLine="0"/>
        <w:jc w:val="left"/>
      </w:pPr>
      <w:r>
        <w:rPr>
          <w:color w:val="002855"/>
        </w:rPr>
        <w:t>Manejo Sistémico e Hitos (</w:t>
      </w:r>
      <w:proofErr w:type="spellStart"/>
      <w:r>
        <w:rPr>
          <w:color w:val="002855"/>
        </w:rPr>
        <w:t>Milestones</w:t>
      </w:r>
      <w:proofErr w:type="spellEnd"/>
      <w:r>
        <w:rPr>
          <w:color w:val="002855"/>
        </w:rPr>
        <w:t xml:space="preserve">) </w:t>
      </w:r>
      <w:r>
        <w:t xml:space="preserve">. . . . . . . . . . . . . . . . . . 34 </w:t>
      </w:r>
      <w:r>
        <w:rPr>
          <w:color w:val="002855"/>
        </w:rPr>
        <w:t xml:space="preserve">12.2 Cronograma, WBS y Manejo Acoplado de Riesgos </w:t>
      </w:r>
      <w:r>
        <w:t>. . . . . . . . . . . . 34</w:t>
      </w:r>
    </w:p>
    <w:p w:rsidR="008A1EC1" w:rsidRDefault="006563A3">
      <w:pPr>
        <w:numPr>
          <w:ilvl w:val="0"/>
          <w:numId w:val="2"/>
        </w:numPr>
        <w:spacing w:after="407" w:line="265" w:lineRule="auto"/>
        <w:ind w:right="-15" w:hanging="351"/>
        <w:jc w:val="left"/>
      </w:pPr>
      <w:r>
        <w:rPr>
          <w:color w:val="002855"/>
        </w:rPr>
        <w:t>Referencias</w:t>
      </w:r>
      <w:r>
        <w:rPr>
          <w:color w:val="002855"/>
        </w:rPr>
        <w:tab/>
      </w:r>
      <w:r>
        <w:t>35</w:t>
      </w:r>
    </w:p>
    <w:p w:rsidR="008A1EC1" w:rsidRDefault="006563A3">
      <w:pPr>
        <w:numPr>
          <w:ilvl w:val="0"/>
          <w:numId w:val="2"/>
        </w:numPr>
        <w:spacing w:after="143" w:line="265" w:lineRule="auto"/>
        <w:ind w:right="-15" w:hanging="351"/>
        <w:jc w:val="left"/>
      </w:pPr>
      <w:r>
        <w:rPr>
          <w:color w:val="002855"/>
        </w:rPr>
        <w:t>Anexos</w:t>
      </w:r>
      <w:r>
        <w:rPr>
          <w:color w:val="002855"/>
        </w:rPr>
        <w:tab/>
      </w:r>
      <w:r>
        <w:t>36</w:t>
      </w:r>
    </w:p>
    <w:p w:rsidR="008A1EC1" w:rsidRDefault="006563A3">
      <w:pPr>
        <w:tabs>
          <w:tab w:val="center" w:pos="4298"/>
          <w:tab w:val="right" w:pos="8731"/>
        </w:tabs>
        <w:spacing w:after="138" w:line="259" w:lineRule="auto"/>
        <w:ind w:left="0" w:right="-15" w:firstLine="0"/>
        <w:jc w:val="left"/>
      </w:pPr>
      <w:r>
        <w:rPr>
          <w:sz w:val="22"/>
        </w:rPr>
        <w:tab/>
      </w:r>
      <w:r>
        <w:rPr>
          <w:color w:val="002855"/>
        </w:rPr>
        <w:t xml:space="preserve">B.1 Diagramas, tablas y presupuestos adicionales </w:t>
      </w:r>
      <w:r>
        <w:t>. . . . . . . . . . . . . . .</w:t>
      </w:r>
      <w:r>
        <w:tab/>
        <w:t>36</w:t>
      </w:r>
      <w:r>
        <w:br w:type="page"/>
      </w:r>
    </w:p>
    <w:p w:rsidR="008A1EC1" w:rsidRDefault="006563A3">
      <w:pPr>
        <w:pStyle w:val="Ttulo1"/>
        <w:spacing w:after="0"/>
      </w:pPr>
      <w:proofErr w:type="spellStart"/>
      <w:r>
        <w:lastRenderedPageBreak/>
        <w:t>Chapter</w:t>
      </w:r>
      <w:proofErr w:type="spellEnd"/>
      <w:r>
        <w:t xml:space="preserve"> 1</w:t>
      </w:r>
    </w:p>
    <w:p w:rsidR="008A1EC1" w:rsidRDefault="006563A3">
      <w:pPr>
        <w:spacing w:after="39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43995" cy="12649"/>
                <wp:effectExtent l="0" t="0" r="0" b="0"/>
                <wp:docPr id="14334" name="Group 1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995" cy="12649"/>
                          <a:chOff x="0" y="0"/>
                          <a:chExt cx="5543995" cy="12649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0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28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34" style="width:436.535pt;height:0.996pt;mso-position-horizontal-relative:char;mso-position-vertical-relative:line" coordsize="55439,126">
                <v:shape id="Shape 583" style="position:absolute;width:55439;height:0;left:0;top:0;" coordsize="5543995,0" path="m0,0l5543995,0">
                  <v:stroke weight="0.996pt" endcap="flat" joinstyle="miter" miterlimit="10" on="true" color="#002855"/>
                  <v:fill on="false" color="#000000" opacity="0"/>
                </v:shape>
              </v:group>
            </w:pict>
          </mc:Fallback>
        </mc:AlternateContent>
      </w:r>
    </w:p>
    <w:p w:rsidR="008A1EC1" w:rsidRDefault="006563A3">
      <w:pPr>
        <w:spacing w:after="980" w:line="265" w:lineRule="auto"/>
        <w:ind w:left="-5"/>
        <w:jc w:val="left"/>
      </w:pPr>
      <w:proofErr w:type="spellStart"/>
      <w:r>
        <w:rPr>
          <w:color w:val="002855"/>
          <w:sz w:val="34"/>
        </w:rPr>
        <w:t>Introduction</w:t>
      </w:r>
      <w:proofErr w:type="spellEnd"/>
    </w:p>
    <w:p w:rsidR="008A1EC1" w:rsidRDefault="006563A3">
      <w:pPr>
        <w:pStyle w:val="Ttulo2"/>
        <w:tabs>
          <w:tab w:val="center" w:pos="2462"/>
        </w:tabs>
        <w:ind w:left="-15" w:firstLine="0"/>
      </w:pPr>
      <w:r>
        <w:t>1.1</w:t>
      </w:r>
      <w:r>
        <w:tab/>
      </w:r>
      <w:proofErr w:type="spellStart"/>
      <w:r>
        <w:t>Mission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:rsidR="008A1EC1" w:rsidRDefault="006563A3">
      <w:pPr>
        <w:spacing w:after="153"/>
        <w:ind w:left="-5"/>
      </w:pPr>
      <w:r>
        <w:t xml:space="preserve">INTISAT </w:t>
      </w:r>
      <w:proofErr w:type="spellStart"/>
      <w:r>
        <w:t>is</w:t>
      </w:r>
      <w:proofErr w:type="spellEnd"/>
      <w:r>
        <w:t xml:space="preserve"> a 2U </w:t>
      </w:r>
      <w:proofErr w:type="spellStart"/>
      <w:r>
        <w:t>CubeSat-class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led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Pontifical </w:t>
      </w:r>
      <w:proofErr w:type="spellStart"/>
      <w:r>
        <w:t>Catholic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Peru</w:t>
      </w:r>
      <w:proofErr w:type="spellEnd"/>
      <w:r>
        <w:t xml:space="preserve"> (PUCP)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Instituto de Radioastronomía (INRAS).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compact </w:t>
      </w:r>
      <w:proofErr w:type="spellStart"/>
      <w:r>
        <w:t>image-based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 </w:t>
      </w:r>
      <w:proofErr w:type="spellStart"/>
      <w:r>
        <w:t>paylo</w:t>
      </w:r>
      <w:r>
        <w:t>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researchers</w:t>
      </w:r>
      <w:proofErr w:type="spellEnd"/>
      <w:r>
        <w:t xml:space="preserve"> as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PUCP’s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and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efforts</w:t>
      </w:r>
      <w:proofErr w:type="spellEnd"/>
      <w:r>
        <w:t>.</w:t>
      </w:r>
    </w:p>
    <w:p w:rsidR="008A1EC1" w:rsidRDefault="006563A3">
      <w:pPr>
        <w:spacing w:after="0"/>
        <w:ind w:left="-5"/>
      </w:pPr>
      <w:r>
        <w:t xml:space="preserve">INTISAT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On-Board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(OBC),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r>
        <w:t xml:space="preserve">EPS), </w:t>
      </w:r>
      <w:proofErr w:type="spellStart"/>
      <w:r>
        <w:t>Telemetry</w:t>
      </w:r>
      <w:proofErr w:type="spellEnd"/>
      <w:r>
        <w:t xml:space="preserve">, Tracking and </w:t>
      </w:r>
      <w:proofErr w:type="spellStart"/>
      <w:r>
        <w:t>Command</w:t>
      </w:r>
      <w:proofErr w:type="spellEnd"/>
      <w:r>
        <w:t xml:space="preserve"> (TTC)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and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enclosed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2U </w:t>
      </w:r>
      <w:proofErr w:type="spellStart"/>
      <w:r>
        <w:t>CubeSat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envelope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serving</w:t>
      </w:r>
      <w:proofErr w:type="spellEnd"/>
      <w:r>
        <w:t xml:space="preserve"> as a </w:t>
      </w:r>
      <w:proofErr w:type="spellStart"/>
      <w:r>
        <w:t>foundat</w:t>
      </w:r>
      <w:r>
        <w:t>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and eventual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>.</w:t>
      </w:r>
    </w:p>
    <w:p w:rsidR="008A1EC1" w:rsidRDefault="006563A3">
      <w:pPr>
        <w:spacing w:after="263" w:line="259" w:lineRule="auto"/>
        <w:ind w:left="3274" w:firstLine="0"/>
        <w:jc w:val="left"/>
      </w:pPr>
      <w:r>
        <w:rPr>
          <w:noProof/>
        </w:rPr>
        <w:drawing>
          <wp:inline distT="0" distB="0" distL="0" distR="0">
            <wp:extent cx="1385997" cy="2376512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5997" cy="237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C1" w:rsidRDefault="006563A3">
      <w:pPr>
        <w:spacing w:after="299" w:line="259" w:lineRule="auto"/>
        <w:jc w:val="center"/>
      </w:pPr>
      <w:r>
        <w:t xml:space="preserve">Figure 1.1: INTISAT 3D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:rsidR="008A1EC1" w:rsidRDefault="008A1EC1">
      <w:pPr>
        <w:sectPr w:rsidR="008A1EC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003" w:right="1587" w:bottom="1372" w:left="1587" w:header="720" w:footer="597" w:gutter="0"/>
          <w:cols w:space="720"/>
        </w:sectPr>
      </w:pPr>
    </w:p>
    <w:p w:rsidR="008A1EC1" w:rsidRDefault="006563A3">
      <w:pPr>
        <w:pStyle w:val="Ttulo2"/>
        <w:tabs>
          <w:tab w:val="center" w:pos="2381"/>
        </w:tabs>
        <w:ind w:left="-15" w:firstLine="0"/>
      </w:pPr>
      <w:r>
        <w:lastRenderedPageBreak/>
        <w:t>1.2</w:t>
      </w:r>
      <w:r>
        <w:tab/>
      </w:r>
      <w:proofErr w:type="spellStart"/>
      <w:r>
        <w:t>Mission</w:t>
      </w:r>
      <w:proofErr w:type="spellEnd"/>
      <w:r>
        <w:t xml:space="preserve"> </w:t>
      </w:r>
      <w:proofErr w:type="spellStart"/>
      <w:r>
        <w:t>Objectives</w:t>
      </w:r>
      <w:proofErr w:type="spellEnd"/>
    </w:p>
    <w:p w:rsidR="008A1EC1" w:rsidRDefault="006563A3">
      <w:pPr>
        <w:spacing w:after="347"/>
        <w:ind w:left="-5" w:right="281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INTISAT are:</w:t>
      </w:r>
    </w:p>
    <w:p w:rsidR="008A1EC1" w:rsidRDefault="006563A3">
      <w:pPr>
        <w:numPr>
          <w:ilvl w:val="0"/>
          <w:numId w:val="3"/>
        </w:numPr>
        <w:spacing w:after="188"/>
        <w:ind w:right="281" w:hanging="234"/>
      </w:pP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miniaturized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sensor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 in </w:t>
      </w:r>
      <w:proofErr w:type="spellStart"/>
      <w:r>
        <w:t>low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 (LEO).</w:t>
      </w:r>
    </w:p>
    <w:p w:rsidR="008A1EC1" w:rsidRDefault="006563A3">
      <w:pPr>
        <w:numPr>
          <w:ilvl w:val="0"/>
          <w:numId w:val="3"/>
        </w:numPr>
        <w:spacing w:after="188"/>
        <w:ind w:right="281" w:hanging="234"/>
      </w:pP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student-developed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nanosatellite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8A1EC1" w:rsidRDefault="006563A3">
      <w:pPr>
        <w:numPr>
          <w:ilvl w:val="0"/>
          <w:numId w:val="3"/>
        </w:numPr>
        <w:spacing w:after="188"/>
        <w:ind w:right="281" w:hanging="234"/>
      </w:pP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verify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 and modular </w:t>
      </w:r>
      <w:proofErr w:type="spellStart"/>
      <w:r>
        <w:t>CubeSat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:rsidR="008A1EC1" w:rsidRDefault="006563A3">
      <w:pPr>
        <w:numPr>
          <w:ilvl w:val="0"/>
          <w:numId w:val="3"/>
        </w:numPr>
        <w:spacing w:after="706"/>
        <w:ind w:right="281" w:hanging="234"/>
      </w:pPr>
      <w:proofErr w:type="spellStart"/>
      <w:r>
        <w:t>To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a </w:t>
      </w:r>
      <w:proofErr w:type="spellStart"/>
      <w:r>
        <w:t>hands-on</w:t>
      </w:r>
      <w:proofErr w:type="spellEnd"/>
      <w:r>
        <w:t xml:space="preserve"> training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, and </w:t>
      </w:r>
      <w:proofErr w:type="spellStart"/>
      <w:r>
        <w:t>testing</w:t>
      </w:r>
      <w:proofErr w:type="spellEnd"/>
      <w:r>
        <w:t>.</w:t>
      </w:r>
    </w:p>
    <w:p w:rsidR="008A1EC1" w:rsidRDefault="006563A3">
      <w:pPr>
        <w:pStyle w:val="Ttulo2"/>
        <w:tabs>
          <w:tab w:val="center" w:pos="3537"/>
        </w:tabs>
        <w:ind w:left="-15" w:firstLine="0"/>
      </w:pPr>
      <w:r>
        <w:t>1.3</w:t>
      </w:r>
      <w:r>
        <w:tab/>
        <w:t>Conc</w:t>
      </w:r>
      <w:r>
        <w:t xml:space="preserve">ept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(</w:t>
      </w:r>
      <w:proofErr w:type="spellStart"/>
      <w:r>
        <w:t>ConOps</w:t>
      </w:r>
      <w:proofErr w:type="spellEnd"/>
      <w:r>
        <w:t>)</w:t>
      </w:r>
    </w:p>
    <w:p w:rsidR="008A1EC1" w:rsidRDefault="006563A3">
      <w:pPr>
        <w:spacing w:after="443"/>
        <w:ind w:left="-5" w:right="28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1007999</wp:posOffset>
                </wp:positionH>
                <wp:positionV relativeFrom="page">
                  <wp:posOffset>503879</wp:posOffset>
                </wp:positionV>
                <wp:extent cx="5543995" cy="560482"/>
                <wp:effectExtent l="0" t="0" r="0" b="0"/>
                <wp:wrapTopAndBottom/>
                <wp:docPr id="14661" name="Group 14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995" cy="560482"/>
                          <a:chOff x="0" y="0"/>
                          <a:chExt cx="5543995" cy="560482"/>
                        </a:xfrm>
                      </wpg:grpSpPr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28" cy="379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Rectangle 611"/>
                        <wps:cNvSpPr/>
                        <wps:spPr>
                          <a:xfrm>
                            <a:off x="1644536" y="181793"/>
                            <a:ext cx="2999143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A1EC1" w:rsidRDefault="006563A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</w:rPr>
                                <w:t>APSCO</w:t>
                              </w:r>
                              <w:r>
                                <w:rPr>
                                  <w:spacing w:val="36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Cubesat</w:t>
                              </w:r>
                              <w:r>
                                <w:rPr>
                                  <w:spacing w:val="36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Competition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717815" y="326996"/>
                            <a:ext cx="2804134" cy="254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A1EC1" w:rsidRDefault="006563A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5"/>
                                </w:rPr>
                                <w:t>Detailed</w:t>
                              </w:r>
                              <w:r>
                                <w:rPr>
                                  <w:spacing w:val="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Design</w:t>
                              </w:r>
                              <w:r>
                                <w:rPr>
                                  <w:spacing w:val="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Report</w:t>
                              </w:r>
                              <w:r>
                                <w:rPr>
                                  <w:spacing w:val="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–</w:t>
                              </w:r>
                              <w:r>
                                <w:rPr>
                                  <w:spacing w:val="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Ver.</w:t>
                              </w:r>
                              <w:r>
                                <w:rPr>
                                  <w:spacing w:val="5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64494" y="78"/>
                            <a:ext cx="379480" cy="37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Shape 615"/>
                        <wps:cNvSpPr/>
                        <wps:spPr>
                          <a:xfrm>
                            <a:off x="0" y="560482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61" style="width:436.535pt;height:44.1325pt;position:absolute;mso-position-horizontal-relative:page;mso-position-horizontal:absolute;margin-left:79.37pt;mso-position-vertical-relative:page;margin-top:39.6755pt;" coordsize="55439,5604">
                <v:shape id="Picture 610" style="position:absolute;width:3869;height:3795;left:0;top:0;" filled="f">
                  <v:imagedata r:id="rId39"/>
                </v:shape>
                <v:rect id="Rectangle 611" style="position:absolute;width:29991;height:1785;left:16445;top:1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</w:rPr>
                          <w:t xml:space="preserve">APSCO</w:t>
                        </w:r>
                        <w:r>
                          <w:rPr>
                            <w:rFonts w:cs="Calibri" w:hAnsi="Calibri" w:eastAsia="Calibri" w:ascii="Calibri"/>
                            <w:spacing w:val="36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</w:rPr>
                          <w:t xml:space="preserve">Cubesat</w:t>
                        </w:r>
                        <w:r>
                          <w:rPr>
                            <w:rFonts w:cs="Calibri" w:hAnsi="Calibri" w:eastAsia="Calibri" w:ascii="Calibri"/>
                            <w:spacing w:val="36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</w:rPr>
                          <w:t xml:space="preserve">Competition</w:t>
                        </w:r>
                      </w:p>
                    </w:txbxContent>
                  </v:textbox>
                </v:rect>
                <v:rect id="Rectangle 612" style="position:absolute;width:28041;height:2548;left:17178;top:3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5"/>
                          </w:rPr>
                          <w:t xml:space="preserve">Detailed</w:t>
                        </w:r>
                        <w:r>
                          <w:rPr>
                            <w:spacing w:val="2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Design</w:t>
                        </w:r>
                        <w:r>
                          <w:rPr>
                            <w:spacing w:val="2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Report</w:t>
                        </w:r>
                        <w:r>
                          <w:rPr>
                            <w:spacing w:val="2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–</w:t>
                        </w:r>
                        <w:r>
                          <w:rPr>
                            <w:spacing w:val="2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Ver.</w:t>
                        </w:r>
                        <w:r>
                          <w:rPr>
                            <w:spacing w:val="5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Picture 614" style="position:absolute;width:3794;height:3794;left:51644;top:0;" filled="f">
                  <v:imagedata r:id="rId37"/>
                </v:shape>
                <v:shape id="Shape 615" style="position:absolute;width:55439;height:0;left:0;top:5604;" coordsize="5543995,0" path="m0,0l5543995,0">
                  <v:stroke weight="0.398pt" endcap="flat" joinstyle="miter" miterlimit="10" on="true" color="#b4b4b4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Following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INTISAT’s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modes</w:t>
      </w:r>
      <w:proofErr w:type="spellEnd"/>
      <w:r>
        <w:t>.</w:t>
      </w:r>
    </w:p>
    <w:p w:rsidR="008A1EC1" w:rsidRDefault="006563A3">
      <w:pPr>
        <w:numPr>
          <w:ilvl w:val="0"/>
          <w:numId w:val="4"/>
        </w:numPr>
        <w:spacing w:after="201"/>
        <w:ind w:right="594" w:hanging="234"/>
      </w:pPr>
      <w:proofErr w:type="spellStart"/>
      <w:r>
        <w:t>Deployment</w:t>
      </w:r>
      <w:proofErr w:type="spellEnd"/>
      <w:r>
        <w:t xml:space="preserve"> &amp;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are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kill-switches</w:t>
      </w:r>
      <w:proofErr w:type="spellEnd"/>
      <w:r>
        <w:t xml:space="preserve">.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ejection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up. </w:t>
      </w:r>
      <w:proofErr w:type="spellStart"/>
      <w:r>
        <w:t>The</w:t>
      </w:r>
      <w:proofErr w:type="spellEnd"/>
      <w:r>
        <w:t xml:space="preserve"> OBC </w:t>
      </w:r>
      <w:proofErr w:type="spellStart"/>
      <w:r>
        <w:t>boots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housekeeping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antenna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after a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silence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:rsidR="008A1EC1" w:rsidRDefault="006563A3">
      <w:pPr>
        <w:numPr>
          <w:ilvl w:val="0"/>
          <w:numId w:val="4"/>
        </w:numPr>
        <w:spacing w:after="205"/>
        <w:ind w:right="594" w:hanging="234"/>
      </w:pPr>
      <w:r>
        <w:t xml:space="preserve">Nominal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EPS </w:t>
      </w:r>
      <w:proofErr w:type="spellStart"/>
      <w:r>
        <w:t>maximizes</w:t>
      </w:r>
      <w:proofErr w:type="spellEnd"/>
      <w:r>
        <w:t xml:space="preserve"> solar </w:t>
      </w:r>
      <w:proofErr w:type="spellStart"/>
      <w:r>
        <w:t>harvesting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beacon</w:t>
      </w:r>
      <w:proofErr w:type="spellEnd"/>
      <w:r>
        <w:t xml:space="preserve">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Microscopy</w:t>
      </w:r>
      <w:proofErr w:type="spellEnd"/>
      <w:r>
        <w:t xml:space="preserve"> / AI)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predetermined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targets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Peruvian </w:t>
      </w:r>
      <w:proofErr w:type="spellStart"/>
      <w:r>
        <w:t>territory</w:t>
      </w:r>
      <w:proofErr w:type="spellEnd"/>
      <w:r>
        <w:t>.</w:t>
      </w:r>
    </w:p>
    <w:p w:rsidR="008A1EC1" w:rsidRDefault="006563A3">
      <w:pPr>
        <w:numPr>
          <w:ilvl w:val="0"/>
          <w:numId w:val="4"/>
        </w:numPr>
        <w:spacing w:after="209"/>
        <w:ind w:right="594" w:hanging="234"/>
      </w:pPr>
      <w:proofErr w:type="spellStart"/>
      <w:r>
        <w:t>Contingency</w:t>
      </w:r>
      <w:proofErr w:type="spellEnd"/>
      <w:r>
        <w:t xml:space="preserve"> </w:t>
      </w:r>
      <w:proofErr w:type="spellStart"/>
      <w:r>
        <w:t>Mo</w:t>
      </w:r>
      <w:r>
        <w:t>de</w:t>
      </w:r>
      <w:proofErr w:type="spellEnd"/>
      <w:r>
        <w:t xml:space="preserve">: </w:t>
      </w:r>
      <w:r>
        <w:t xml:space="preserve">A </w:t>
      </w:r>
      <w:proofErr w:type="spellStart"/>
      <w:r>
        <w:t>safe-state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latch</w:t>
      </w:r>
      <w:proofErr w:type="spellEnd"/>
      <w:r>
        <w:t xml:space="preserve">-up </w:t>
      </w:r>
      <w:proofErr w:type="spellStart"/>
      <w:r>
        <w:t>events</w:t>
      </w:r>
      <w:proofErr w:type="spellEnd"/>
      <w:r>
        <w:t>). Non-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are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control </w:t>
      </w:r>
      <w:proofErr w:type="spellStart"/>
      <w:r>
        <w:t>intervenes</w:t>
      </w:r>
      <w:proofErr w:type="spellEnd"/>
      <w:r>
        <w:t>.</w:t>
      </w:r>
    </w:p>
    <w:p w:rsidR="008A1EC1" w:rsidRDefault="006563A3">
      <w:pPr>
        <w:numPr>
          <w:ilvl w:val="0"/>
          <w:numId w:val="4"/>
        </w:numPr>
        <w:spacing w:after="705"/>
        <w:ind w:right="594" w:hanging="234"/>
      </w:pPr>
      <w:proofErr w:type="spellStart"/>
      <w:r>
        <w:t>Decommissioning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End-of-life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telecomman</w:t>
      </w:r>
      <w:r>
        <w:t>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programmed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securing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passivation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and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transceivers</w:t>
      </w:r>
      <w:proofErr w:type="spellEnd"/>
      <w:r>
        <w:t xml:space="preserve">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reentry</w:t>
      </w:r>
      <w:proofErr w:type="spellEnd"/>
      <w:r>
        <w:t>.</w:t>
      </w:r>
    </w:p>
    <w:p w:rsidR="008A1EC1" w:rsidRDefault="006563A3">
      <w:pPr>
        <w:pStyle w:val="Ttulo2"/>
        <w:tabs>
          <w:tab w:val="center" w:pos="2260"/>
        </w:tabs>
        <w:ind w:left="-15" w:firstLine="0"/>
      </w:pPr>
      <w:r>
        <w:lastRenderedPageBreak/>
        <w:t>1.4</w:t>
      </w:r>
      <w:r>
        <w:tab/>
        <w:t xml:space="preserve">Project </w:t>
      </w:r>
      <w:proofErr w:type="spellStart"/>
      <w:r>
        <w:t>Members</w:t>
      </w:r>
      <w:proofErr w:type="spellEnd"/>
    </w:p>
    <w:p w:rsidR="008A1EC1" w:rsidRDefault="006563A3">
      <w:pPr>
        <w:spacing w:after="107"/>
        <w:ind w:left="-5" w:right="281"/>
      </w:pPr>
      <w:r>
        <w:t xml:space="preserve">INTISAT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at PUCP.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:rsidR="008A1EC1" w:rsidRDefault="006563A3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44008" cy="612263"/>
                <wp:effectExtent l="0" t="0" r="0" b="0"/>
                <wp:docPr id="14662" name="Group 14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008" cy="612263"/>
                          <a:chOff x="0" y="0"/>
                          <a:chExt cx="5544008" cy="612263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60"/>
                            <a:ext cx="468461" cy="506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5469687" y="420652"/>
                            <a:ext cx="98848" cy="254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A1EC1" w:rsidRDefault="006563A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62" style="width:436.536pt;height:48.2097pt;mso-position-horizontal-relative:char;mso-position-vertical-relative:line" coordsize="55440,6122">
                <v:shape id="Shape 661" style="position:absolute;width:55439;height:0;left:0;top:0;" coordsize="5543995,0" path="m0,0l5543995,0">
                  <v:stroke weight="0.398pt" endcap="flat" joinstyle="miter" miterlimit="10" on="true" color="#000000"/>
                  <v:fill on="false" color="#000000" opacity="0"/>
                </v:shape>
                <v:shape id="Picture 663" style="position:absolute;width:4684;height:5060;left:0;top:576;" filled="f">
                  <v:imagedata r:id="rId41"/>
                </v:shape>
                <v:rect id="Rectangle 664" style="position:absolute;width:988;height:2548;left:54696;top:4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6"/>
                          </w:rPr>
                          <w:t xml:space="preserve">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A1EC1" w:rsidRDefault="006563A3">
      <w:pPr>
        <w:numPr>
          <w:ilvl w:val="0"/>
          <w:numId w:val="5"/>
        </w:numPr>
        <w:spacing w:after="226"/>
        <w:ind w:right="281" w:hanging="234"/>
      </w:pPr>
      <w:r>
        <w:t>INRAS – PUCP</w:t>
      </w:r>
      <w:r>
        <w:t xml:space="preserve">: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TTC module </w:t>
      </w:r>
      <w:proofErr w:type="spellStart"/>
      <w:r>
        <w:t>development</w:t>
      </w:r>
      <w:proofErr w:type="spellEnd"/>
      <w:r>
        <w:t xml:space="preserve">, and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:rsidR="008A1EC1" w:rsidRDefault="006563A3">
      <w:pPr>
        <w:numPr>
          <w:ilvl w:val="0"/>
          <w:numId w:val="5"/>
        </w:numPr>
        <w:spacing w:after="213"/>
        <w:ind w:right="281" w:hanging="234"/>
      </w:pPr>
      <w:proofErr w:type="spellStart"/>
      <w:r>
        <w:t>Faculty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and </w:t>
      </w:r>
      <w:proofErr w:type="spellStart"/>
      <w:r>
        <w:t>Engineering</w:t>
      </w:r>
      <w:proofErr w:type="spellEnd"/>
      <w:r>
        <w:t xml:space="preserve"> – PUCP</w:t>
      </w:r>
      <w:r>
        <w:t xml:space="preserve">: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software, </w:t>
      </w:r>
      <w:proofErr w:type="spellStart"/>
      <w:r>
        <w:t>electronics</w:t>
      </w:r>
      <w:proofErr w:type="spellEnd"/>
      <w:r>
        <w:t xml:space="preserve">, and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>.</w:t>
      </w:r>
    </w:p>
    <w:p w:rsidR="008A1EC1" w:rsidRDefault="006563A3">
      <w:pPr>
        <w:numPr>
          <w:ilvl w:val="0"/>
          <w:numId w:val="5"/>
        </w:numPr>
        <w:spacing w:after="703"/>
        <w:ind w:right="281" w:hanging="234"/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(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phase</w:t>
      </w:r>
      <w:proofErr w:type="spellEnd"/>
      <w:r>
        <w:t>)</w:t>
      </w:r>
      <w:r>
        <w:t xml:space="preserve">: </w:t>
      </w:r>
      <w:proofErr w:type="spellStart"/>
      <w:r>
        <w:t>Collaborators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:rsidR="008A1EC1" w:rsidRDefault="006563A3">
      <w:pPr>
        <w:pStyle w:val="Ttulo2"/>
        <w:tabs>
          <w:tab w:val="center" w:pos="1997"/>
        </w:tabs>
        <w:spacing w:after="126"/>
        <w:ind w:left="-15" w:firstLine="0"/>
      </w:pPr>
      <w:r>
        <w:t>1.5</w:t>
      </w:r>
      <w:r>
        <w:tab/>
      </w:r>
      <w:proofErr w:type="spellStart"/>
      <w:r>
        <w:t>Mission</w:t>
      </w:r>
      <w:proofErr w:type="spellEnd"/>
      <w:r>
        <w:t xml:space="preserve"> </w:t>
      </w:r>
      <w:proofErr w:type="spellStart"/>
      <w:r>
        <w:t>Patch</w:t>
      </w:r>
      <w:proofErr w:type="spellEnd"/>
    </w:p>
    <w:p w:rsidR="008A1EC1" w:rsidRDefault="006563A3">
      <w:pPr>
        <w:spacing w:after="263" w:line="259" w:lineRule="auto"/>
        <w:ind w:left="3274" w:firstLine="0"/>
        <w:jc w:val="left"/>
      </w:pPr>
      <w:r>
        <w:rPr>
          <w:noProof/>
        </w:rPr>
        <w:drawing>
          <wp:inline distT="0" distB="0" distL="0" distR="0">
            <wp:extent cx="1385987" cy="1385986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5987" cy="13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C1" w:rsidRDefault="006563A3">
      <w:pPr>
        <w:spacing w:after="299" w:line="259" w:lineRule="auto"/>
        <w:ind w:right="594"/>
        <w:jc w:val="center"/>
      </w:pPr>
      <w:r>
        <w:t xml:space="preserve">Figure 1.2: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INTISAT.</w:t>
      </w:r>
    </w:p>
    <w:p w:rsidR="008A1EC1" w:rsidRDefault="006563A3">
      <w:pPr>
        <w:pStyle w:val="Ttulo1"/>
        <w:spacing w:after="0"/>
        <w:ind w:right="594"/>
      </w:pPr>
      <w:proofErr w:type="spellStart"/>
      <w:r>
        <w:t>Chapter</w:t>
      </w:r>
      <w:proofErr w:type="spellEnd"/>
      <w:r>
        <w:t xml:space="preserve"> 2</w:t>
      </w:r>
    </w:p>
    <w:p w:rsidR="008A1EC1" w:rsidRDefault="006563A3">
      <w:pPr>
        <w:spacing w:after="39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43995" cy="12649"/>
                <wp:effectExtent l="0" t="0" r="0" b="0"/>
                <wp:docPr id="14559" name="Group 14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995" cy="12649"/>
                          <a:chOff x="0" y="0"/>
                          <a:chExt cx="5543995" cy="12649"/>
                        </a:xfrm>
                      </wpg:grpSpPr>
                      <wps:wsp>
                        <wps:cNvPr id="705" name="Shape 705"/>
                        <wps:cNvSpPr/>
                        <wps:spPr>
                          <a:xfrm>
                            <a:off x="0" y="0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28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59" style="width:436.535pt;height:0.996pt;mso-position-horizontal-relative:char;mso-position-vertical-relative:line" coordsize="55439,126">
                <v:shape id="Shape 705" style="position:absolute;width:55439;height:0;left:0;top:0;" coordsize="5543995,0" path="m0,0l5543995,0">
                  <v:stroke weight="0.996pt" endcap="flat" joinstyle="miter" miterlimit="10" on="true" color="#002855"/>
                  <v:fill on="false" color="#000000" opacity="0"/>
                </v:shape>
              </v:group>
            </w:pict>
          </mc:Fallback>
        </mc:AlternateConten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Arquitectura del Sistema</w:t>
      </w:r>
    </w:p>
    <w:p w:rsidR="008A1EC1" w:rsidRDefault="006563A3">
      <w:pPr>
        <w:pStyle w:val="Ttulo2"/>
        <w:tabs>
          <w:tab w:val="center" w:pos="2970"/>
        </w:tabs>
        <w:ind w:left="-15" w:firstLine="0"/>
      </w:pPr>
      <w:r>
        <w:t>2.1</w:t>
      </w:r>
      <w:r>
        <w:tab/>
        <w:t>Visión general del sistema</w:t>
      </w:r>
    </w:p>
    <w:p w:rsidR="008A1EC1" w:rsidRDefault="006563A3">
      <w:pPr>
        <w:ind w:left="-5" w:right="594"/>
      </w:pPr>
      <w:r>
        <w:t>El sistema del nanosatélite INTISAT está compuesto por un conjunto de submódulos interconectados en un bus estándar de facto (tipo PC-104 modificado o equivalente de la industria aeroespacial). La misión principal se asegura a través de un módulo de servic</w:t>
      </w:r>
      <w:r>
        <w:t xml:space="preserve">io </w:t>
      </w:r>
      <w:r>
        <w:lastRenderedPageBreak/>
        <w:t>(Bus) robusto frente a fallos y redundante al integrarse a las diferentes cargas útiles (</w:t>
      </w:r>
      <w:proofErr w:type="spellStart"/>
      <w:r>
        <w:t>p.e</w:t>
      </w:r>
      <w:proofErr w:type="spellEnd"/>
      <w:r>
        <w:t>. la cámara de microscopía digital).</w:t>
      </w:r>
    </w:p>
    <w:p w:rsidR="008A1EC1" w:rsidRDefault="006563A3">
      <w:pPr>
        <w:pStyle w:val="Ttulo3"/>
        <w:tabs>
          <w:tab w:val="center" w:pos="2500"/>
        </w:tabs>
        <w:ind w:left="-15" w:firstLine="0"/>
      </w:pPr>
      <w:r>
        <w:t>2.1.1</w:t>
      </w:r>
      <w:r>
        <w:tab/>
        <w:t>Diagrama de Potencia</w:t>
      </w:r>
    </w:p>
    <w:p w:rsidR="008A1EC1" w:rsidRDefault="006563A3">
      <w:pPr>
        <w:ind w:left="-5" w:right="594"/>
      </w:pPr>
      <w:r>
        <w:t>El módulo eléctrico EPS (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gestiona de forma centralizada todos los buses </w:t>
      </w:r>
      <w:r>
        <w:t>de poder, alimentando los subsistemas mediante voltajes de 3.3V, 5V y las líneas no reguladas (</w:t>
      </w:r>
      <w:proofErr w:type="spellStart"/>
      <w:r>
        <w:t>vBattery</w:t>
      </w:r>
      <w:proofErr w:type="spellEnd"/>
      <w:r>
        <w:t>). Esto permite un control estricto sobre los convertidores y habilita esquemas de encendido y apagado de módulos de manera individual, esencial para ges</w:t>
      </w:r>
      <w:r>
        <w:t>tionar adecuadamente el consumo de operaciones durante eclipses o ante detecciones de falla/</w:t>
      </w:r>
      <w:proofErr w:type="spellStart"/>
      <w:r>
        <w:t>latch</w:t>
      </w:r>
      <w:proofErr w:type="spellEnd"/>
      <w:r>
        <w:t>-up.</w:t>
      </w:r>
    </w:p>
    <w:p w:rsidR="008A1EC1" w:rsidRDefault="006563A3">
      <w:pPr>
        <w:pStyle w:val="Ttulo3"/>
        <w:tabs>
          <w:tab w:val="center" w:pos="2929"/>
        </w:tabs>
        <w:ind w:left="-15" w:firstLine="0"/>
      </w:pPr>
      <w:r>
        <w:t>2.1.2</w:t>
      </w:r>
      <w:r>
        <w:tab/>
        <w:t>Diagrama de Flujo de Datos</w:t>
      </w:r>
    </w:p>
    <w:p w:rsidR="008A1EC1" w:rsidRDefault="006563A3">
      <w:pPr>
        <w:spacing w:after="1388"/>
        <w:ind w:left="-5" w:right="594"/>
      </w:pPr>
      <w:r>
        <w:t>La ruta de datos tiene como nodo de control y mediación a la computadora de placa única (OBC). La comunicación principal interna entre módulos del Bus se establece por protocolos estándar robustos de baja velocidad como I2C, SPI o UART (este último crítico</w:t>
      </w:r>
      <w:r>
        <w:t xml:space="preserve"> para las cargas útiles pesadas). La computadora recolecta datos internos (</w:t>
      </w:r>
      <w:proofErr w:type="spellStart"/>
      <w:r>
        <w:t>Housekeeping</w:t>
      </w:r>
      <w:proofErr w:type="spellEnd"/>
      <w:r>
        <w:t xml:space="preserve">), información de telemetría general y del </w:t>
      </w:r>
      <w:proofErr w:type="spellStart"/>
      <w:r>
        <w:t>Payload</w:t>
      </w:r>
      <w:proofErr w:type="spellEnd"/>
      <w:r>
        <w:t>, y se encarga de empaquetarlos en estructuras de enlace CCSDS/AX.25 para ser transmitidas al respectivo segmento terre</w:t>
      </w:r>
      <w:r>
        <w:t>no (como AYNISAT) a través del módulo transceptor de enlace descendente.</w:t>
      </w:r>
    </w:p>
    <w:p w:rsidR="008A1EC1" w:rsidRDefault="006563A3">
      <w:pPr>
        <w:spacing w:after="299" w:line="259" w:lineRule="auto"/>
        <w:ind w:right="594"/>
        <w:jc w:val="center"/>
      </w:pPr>
      <w:r>
        <w:t>11</w:t>
      </w:r>
    </w:p>
    <w:p w:rsidR="008A1EC1" w:rsidRDefault="006563A3">
      <w:pPr>
        <w:pStyle w:val="Ttulo2"/>
        <w:tabs>
          <w:tab w:val="center" w:pos="4391"/>
        </w:tabs>
        <w:ind w:left="-15" w:firstLine="0"/>
      </w:pPr>
      <w:r>
        <w:t>2.2</w:t>
      </w:r>
      <w:r>
        <w:tab/>
        <w:t>Presupuestos Técnicos y Análisis de Misión</w:t>
      </w:r>
    </w:p>
    <w:p w:rsidR="008A1EC1" w:rsidRDefault="006563A3">
      <w:pPr>
        <w:ind w:left="-5" w:right="281"/>
      </w:pPr>
      <w:r>
        <w:t>Esta sección centraliza los presupuestos críticos para el ciclo de vida del nanosatélite, garantizando que cumple con los requerimien</w:t>
      </w:r>
      <w:r>
        <w:t>tos restrictivos del formato 2U.</w:t>
      </w:r>
    </w:p>
    <w:p w:rsidR="008A1EC1" w:rsidRDefault="006563A3">
      <w:pPr>
        <w:tabs>
          <w:tab w:val="center" w:pos="3319"/>
        </w:tabs>
        <w:spacing w:after="349" w:line="259" w:lineRule="auto"/>
        <w:ind w:left="-15" w:firstLine="0"/>
        <w:jc w:val="left"/>
      </w:pPr>
      <w:r>
        <w:rPr>
          <w:sz w:val="29"/>
        </w:rPr>
        <w:t>2.2.1</w:t>
      </w:r>
      <w:r>
        <w:rPr>
          <w:sz w:val="29"/>
        </w:rPr>
        <w:tab/>
        <w:t>Parámetros de Órbita y Vida Útil</w:t>
      </w:r>
    </w:p>
    <w:p w:rsidR="008A1EC1" w:rsidRDefault="006563A3">
      <w:pPr>
        <w:tabs>
          <w:tab w:val="center" w:pos="3522"/>
        </w:tabs>
        <w:spacing w:after="349" w:line="259" w:lineRule="auto"/>
        <w:ind w:left="-15" w:firstLine="0"/>
        <w:jc w:val="left"/>
      </w:pPr>
      <w:r>
        <w:rPr>
          <w:sz w:val="29"/>
        </w:rPr>
        <w:t>2.2.2</w:t>
      </w:r>
      <w:r>
        <w:rPr>
          <w:sz w:val="29"/>
        </w:rPr>
        <w:tab/>
        <w:t>Presupuesto de Masa (</w:t>
      </w:r>
      <w:proofErr w:type="spellStart"/>
      <w:r>
        <w:rPr>
          <w:sz w:val="29"/>
        </w:rPr>
        <w:t>Mass</w:t>
      </w:r>
      <w:proofErr w:type="spellEnd"/>
      <w:r>
        <w:rPr>
          <w:sz w:val="29"/>
        </w:rPr>
        <w:t xml:space="preserve"> Budget)</w:t>
      </w:r>
    </w:p>
    <w:p w:rsidR="008A1EC1" w:rsidRDefault="006563A3">
      <w:pPr>
        <w:tabs>
          <w:tab w:val="center" w:pos="3818"/>
        </w:tabs>
        <w:spacing w:after="349" w:line="259" w:lineRule="auto"/>
        <w:ind w:left="-15" w:firstLine="0"/>
        <w:jc w:val="left"/>
      </w:pPr>
      <w:r>
        <w:rPr>
          <w:sz w:val="29"/>
        </w:rPr>
        <w:t>2.2.3</w:t>
      </w:r>
      <w:r>
        <w:rPr>
          <w:sz w:val="29"/>
        </w:rPr>
        <w:tab/>
        <w:t>Presupuesto de Potencia (</w:t>
      </w:r>
      <w:proofErr w:type="spellStart"/>
      <w:r>
        <w:rPr>
          <w:sz w:val="29"/>
        </w:rPr>
        <w:t>Power</w:t>
      </w:r>
      <w:proofErr w:type="spellEnd"/>
      <w:r>
        <w:rPr>
          <w:sz w:val="29"/>
        </w:rPr>
        <w:t xml:space="preserve"> Budget)</w:t>
      </w:r>
    </w:p>
    <w:p w:rsidR="008A1EC1" w:rsidRDefault="006563A3">
      <w:pPr>
        <w:tabs>
          <w:tab w:val="center" w:pos="3238"/>
        </w:tabs>
        <w:spacing w:after="436" w:line="259" w:lineRule="auto"/>
        <w:ind w:left="-15" w:firstLine="0"/>
        <w:jc w:val="left"/>
      </w:pPr>
      <w:r>
        <w:rPr>
          <w:sz w:val="29"/>
        </w:rPr>
        <w:t>2.2.4</w:t>
      </w:r>
      <w:r>
        <w:rPr>
          <w:sz w:val="29"/>
        </w:rPr>
        <w:tab/>
        <w:t>Cálculo de Enlace (Link Budget)</w:t>
      </w:r>
    </w:p>
    <w:p w:rsidR="008A1EC1" w:rsidRDefault="006563A3">
      <w:pPr>
        <w:pStyle w:val="Ttulo2"/>
        <w:tabs>
          <w:tab w:val="center" w:pos="4351"/>
        </w:tabs>
        <w:spacing w:after="402"/>
        <w:ind w:left="-15" w:firstLine="0"/>
      </w:pPr>
      <w:r>
        <w:lastRenderedPageBreak/>
        <w:t>2.3</w:t>
      </w:r>
      <w:r>
        <w:tab/>
        <w:t>Documento de Control de Interfaces (ICD)</w:t>
      </w:r>
    </w:p>
    <w:p w:rsidR="008A1EC1" w:rsidRDefault="006563A3">
      <w:pPr>
        <w:tabs>
          <w:tab w:val="center" w:pos="3438"/>
        </w:tabs>
        <w:spacing w:after="247" w:line="259" w:lineRule="auto"/>
        <w:ind w:left="-15" w:firstLine="0"/>
        <w:jc w:val="left"/>
      </w:pPr>
      <w:r>
        <w:rPr>
          <w:sz w:val="29"/>
        </w:rPr>
        <w:t>2.3.1</w:t>
      </w:r>
      <w:r>
        <w:rPr>
          <w:sz w:val="29"/>
        </w:rPr>
        <w:tab/>
      </w:r>
      <w:r>
        <w:rPr>
          <w:sz w:val="29"/>
        </w:rPr>
        <w:t xml:space="preserve">Interface Data </w:t>
      </w:r>
      <w:proofErr w:type="spellStart"/>
      <w:r>
        <w:rPr>
          <w:sz w:val="29"/>
        </w:rPr>
        <w:t>Sheet</w:t>
      </w:r>
      <w:proofErr w:type="spellEnd"/>
      <w:r>
        <w:rPr>
          <w:sz w:val="29"/>
        </w:rPr>
        <w:t xml:space="preserve"> y </w:t>
      </w:r>
      <w:proofErr w:type="spellStart"/>
      <w:r>
        <w:rPr>
          <w:sz w:val="29"/>
        </w:rPr>
        <w:t>Form</w:t>
      </w:r>
      <w:proofErr w:type="spellEnd"/>
      <w:r>
        <w:rPr>
          <w:sz w:val="29"/>
        </w:rPr>
        <w:t xml:space="preserve"> Factor</w:t>
      </w:r>
      <w:r>
        <w:br w:type="page"/>
      </w:r>
    </w:p>
    <w:p w:rsidR="008A1EC1" w:rsidRDefault="006563A3">
      <w:pPr>
        <w:pStyle w:val="Ttulo1"/>
        <w:spacing w:after="0"/>
        <w:ind w:right="594"/>
      </w:pPr>
      <w:proofErr w:type="spellStart"/>
      <w:r>
        <w:lastRenderedPageBreak/>
        <w:t>Chapter</w:t>
      </w:r>
      <w:proofErr w:type="spellEnd"/>
      <w:r>
        <w:t xml:space="preserve"> 3</w:t>
      </w:r>
    </w:p>
    <w:p w:rsidR="008A1EC1" w:rsidRDefault="006563A3">
      <w:pPr>
        <w:spacing w:after="39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43995" cy="12649"/>
                <wp:effectExtent l="0" t="0" r="0" b="0"/>
                <wp:docPr id="14493" name="Group 1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995" cy="12649"/>
                          <a:chOff x="0" y="0"/>
                          <a:chExt cx="5543995" cy="12649"/>
                        </a:xfrm>
                      </wpg:grpSpPr>
                      <wps:wsp>
                        <wps:cNvPr id="767" name="Shape 767"/>
                        <wps:cNvSpPr/>
                        <wps:spPr>
                          <a:xfrm>
                            <a:off x="0" y="0"/>
                            <a:ext cx="5543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995">
                                <a:moveTo>
                                  <a:pt x="0" y="0"/>
                                </a:moveTo>
                                <a:lnTo>
                                  <a:pt x="5543995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28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3" style="width:436.535pt;height:0.996pt;mso-position-horizontal-relative:char;mso-position-vertical-relative:line" coordsize="55439,126">
                <v:shape id="Shape 767" style="position:absolute;width:55439;height:0;left:0;top:0;" coordsize="5543995,0" path="m0,0l5543995,0">
                  <v:stroke weight="0.996pt" endcap="flat" joinstyle="miter" miterlimit="10" on="true" color="#002855"/>
                  <v:fill on="false" color="#000000" opacity="0"/>
                </v:shape>
              </v:group>
            </w:pict>
          </mc:Fallback>
        </mc:AlternateConten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OBC – Computadora de a Bordo</w:t>
      </w:r>
    </w:p>
    <w:p w:rsidR="008A1EC1" w:rsidRDefault="006563A3">
      <w:pPr>
        <w:pStyle w:val="Ttulo2"/>
        <w:tabs>
          <w:tab w:val="right" w:pos="9325"/>
        </w:tabs>
        <w:ind w:left="-15" w:firstLine="0"/>
      </w:pPr>
      <w:r>
        <w:t>3.1</w:t>
      </w:r>
      <w:r>
        <w:tab/>
        <w:t>Diseño de Hardware y Arquitectura Central (OBDH)</w:t>
      </w:r>
    </w:p>
    <w:p w:rsidR="008A1EC1" w:rsidRDefault="006563A3">
      <w:pPr>
        <w:spacing w:after="153"/>
        <w:ind w:left="-5" w:right="594"/>
      </w:pPr>
      <w:r>
        <w:t xml:space="preserve">El hardware principal o módulo </w:t>
      </w:r>
      <w:proofErr w:type="spellStart"/>
      <w:r>
        <w:t>On-Board</w:t>
      </w:r>
      <w:proofErr w:type="spellEnd"/>
      <w:r>
        <w:t xml:space="preserve"> Data </w:t>
      </w:r>
      <w:proofErr w:type="spellStart"/>
      <w:r>
        <w:t>Handling</w:t>
      </w:r>
      <w:proofErr w:type="spellEnd"/>
      <w:r>
        <w:t xml:space="preserve"> (OBDH) es el </w:t>
      </w:r>
      <w:r>
        <w:rPr>
          <w:i/>
        </w:rPr>
        <w:t xml:space="preserve">corazón </w:t>
      </w:r>
      <w:r>
        <w:t>de la plataforma INTISAT, concebido de manera espec</w:t>
      </w:r>
      <w:r>
        <w:t>ífica para coordinar las operaciones vitales, gestión de fallos y comunicaciones.</w:t>
      </w:r>
    </w:p>
    <w:p w:rsidR="008A1EC1" w:rsidRDefault="006563A3">
      <w:pPr>
        <w:spacing w:after="11"/>
        <w:ind w:left="-5" w:right="281"/>
      </w:pPr>
      <w:r>
        <w:t>La arquitectura de procesamiento está basada en un microcontrolador de alto rendimiento</w:t>
      </w:r>
    </w:p>
    <w:p w:rsidR="008A1EC1" w:rsidRDefault="006563A3">
      <w:pPr>
        <w:spacing w:after="602" w:line="239" w:lineRule="auto"/>
        <w:ind w:left="-5" w:right="100"/>
        <w:jc w:val="left"/>
      </w:pPr>
      <w:r>
        <w:t>STM32H7 (144 pines)</w:t>
      </w:r>
      <w:r>
        <w:t>, impulsado por osciladores de precisión (Cristal HSE de 24 MHz y L</w:t>
      </w:r>
      <w:r>
        <w:t>SE de 32.768 kHz). Este núcleo asegura el poder de cómputo necesario para tareas de tiempo real exigidas por las cargas útiles.</w:t>
      </w:r>
    </w:p>
    <w:p w:rsidR="008A1EC1" w:rsidRDefault="006563A3">
      <w:pPr>
        <w:pStyle w:val="Ttulo3"/>
        <w:tabs>
          <w:tab w:val="center" w:pos="3869"/>
        </w:tabs>
        <w:ind w:left="-15" w:firstLine="0"/>
      </w:pPr>
      <w:r>
        <w:t>3.1.1</w:t>
      </w:r>
      <w:r>
        <w:tab/>
        <w:t>Esquema de Memorias y Almacenamiento</w:t>
      </w:r>
    </w:p>
    <w:p w:rsidR="008A1EC1" w:rsidRDefault="006563A3">
      <w:pPr>
        <w:spacing w:after="382"/>
        <w:ind w:left="-5" w:right="594"/>
      </w:pPr>
      <w:r>
        <w:t>Para garantizar la persistencia de datos (</w:t>
      </w:r>
      <w:proofErr w:type="spellStart"/>
      <w:r>
        <w:t>Housekeeping</w:t>
      </w:r>
      <w:proofErr w:type="spellEnd"/>
      <w:r>
        <w:t xml:space="preserve"> y rutinas de </w:t>
      </w:r>
      <w:proofErr w:type="spellStart"/>
      <w:r>
        <w:t>Payload</w:t>
      </w:r>
      <w:proofErr w:type="spellEnd"/>
      <w:r>
        <w:t>) y tolera</w:t>
      </w:r>
      <w:r>
        <w:t xml:space="preserve">r fallos inducidos por radiación mitigando eventos Single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Upset</w:t>
      </w:r>
      <w:proofErr w:type="spellEnd"/>
      <w:r>
        <w:t xml:space="preserve"> (SEU), la OBC implementa un banco de memorias redundante operando a 3.3V:</w:t>
      </w:r>
    </w:p>
    <w:p w:rsidR="008A1EC1" w:rsidRDefault="006563A3">
      <w:pPr>
        <w:numPr>
          <w:ilvl w:val="0"/>
          <w:numId w:val="6"/>
        </w:numPr>
        <w:spacing w:after="215"/>
        <w:ind w:right="281" w:hanging="234"/>
      </w:pPr>
      <w:r>
        <w:t xml:space="preserve">Memorias de Alta Velocidad (x3): </w:t>
      </w:r>
      <w:r>
        <w:t xml:space="preserve">Interconectadas mediante bus QSPI a 133 MHz, priorizando la ejecución rápida y </w:t>
      </w:r>
      <w:r>
        <w:t>buffers de comunicación.</w:t>
      </w:r>
    </w:p>
    <w:p w:rsidR="008A1EC1" w:rsidRDefault="006563A3">
      <w:pPr>
        <w:numPr>
          <w:ilvl w:val="0"/>
          <w:numId w:val="6"/>
        </w:numPr>
        <w:ind w:right="281" w:hanging="234"/>
      </w:pPr>
      <w:r>
        <w:t xml:space="preserve">Memorias de Baja Velocidad (x3): </w:t>
      </w:r>
      <w:r>
        <w:t>Interconectadas mediante bus SPI tradicional a 25 MHz para redundancia y almacenamiento profundo no volátil.</w:t>
      </w:r>
    </w:p>
    <w:p w:rsidR="008A1EC1" w:rsidRDefault="006563A3">
      <w:pPr>
        <w:pStyle w:val="Ttulo3"/>
        <w:tabs>
          <w:tab w:val="center" w:pos="3011"/>
        </w:tabs>
        <w:ind w:left="-15" w:firstLine="0"/>
      </w:pPr>
      <w:r>
        <w:t>3.1.2</w:t>
      </w:r>
      <w:r>
        <w:tab/>
        <w:t>Monitoreo Interno y Sensores</w:t>
      </w:r>
    </w:p>
    <w:p w:rsidR="008A1EC1" w:rsidRDefault="006563A3">
      <w:pPr>
        <w:spacing w:after="1222"/>
        <w:ind w:left="-5" w:right="594"/>
      </w:pPr>
      <w:r>
        <w:t xml:space="preserve">El acondicionamiento físico incluye un banco independiente de </w:t>
      </w:r>
      <w:r>
        <w:t xml:space="preserve">6 unidades de sensores de temperatura </w:t>
      </w:r>
      <w:r>
        <w:t>vinculados directamente al STM32H7 vía bus I2C, lo que permite trazar mapas de calor de la placa madre en tiempo real.</w:t>
      </w:r>
    </w:p>
    <w:p w:rsidR="008A1EC1" w:rsidRDefault="006563A3">
      <w:pPr>
        <w:spacing w:after="299" w:line="259" w:lineRule="auto"/>
        <w:ind w:right="594"/>
        <w:jc w:val="center"/>
      </w:pPr>
      <w:r>
        <w:t>13</w:t>
      </w:r>
    </w:p>
    <w:p w:rsidR="008A1EC1" w:rsidRDefault="006563A3">
      <w:pPr>
        <w:pStyle w:val="Ttulo2"/>
        <w:ind w:left="831" w:hanging="846"/>
      </w:pPr>
      <w:r>
        <w:lastRenderedPageBreak/>
        <w:t>3.2</w:t>
      </w:r>
      <w:r>
        <w:tab/>
        <w:t>Capa de Aislamiento e Interfaz</w:t>
      </w:r>
      <w:r>
        <w:t xml:space="preserve"> de Comunicaciones</w:t>
      </w:r>
    </w:p>
    <w:p w:rsidR="008A1EC1" w:rsidRDefault="006563A3">
      <w:pPr>
        <w:spacing w:after="371"/>
        <w:ind w:left="-5" w:right="594"/>
      </w:pPr>
      <w:r>
        <w:t>Teniendo en cuenta el entorno disruptivo del espacio, la placa OBC no se comunica directamente con el bus estándar del satélite (PC/104). Se incorpora un diseño de aislamiento galvánico de señales:</w:t>
      </w:r>
    </w:p>
    <w:p w:rsidR="008A1EC1" w:rsidRDefault="006563A3">
      <w:pPr>
        <w:numPr>
          <w:ilvl w:val="0"/>
          <w:numId w:val="7"/>
        </w:numPr>
        <w:spacing w:after="196"/>
        <w:ind w:right="594" w:hanging="234"/>
      </w:pPr>
      <w:r>
        <w:t xml:space="preserve">Una etapa de </w:t>
      </w:r>
      <w:r>
        <w:t xml:space="preserve">Banco de Aisladores </w:t>
      </w:r>
      <w:r>
        <w:t>proteg</w:t>
      </w:r>
      <w:r>
        <w:t>e los puertos expuestos hacia el conector PC/104. Esto involucra puertos críticos de Baja Velocidad (hasta 22 pines GPIO, 2x SPI, 2x I2C y 4x UART utilizados pesadamente por las cargas útiles).</w:t>
      </w:r>
    </w:p>
    <w:p w:rsidR="008A1EC1" w:rsidRDefault="006563A3">
      <w:pPr>
        <w:numPr>
          <w:ilvl w:val="0"/>
          <w:numId w:val="7"/>
        </w:numPr>
        <w:spacing w:after="706"/>
        <w:ind w:right="594" w:hanging="234"/>
      </w:pPr>
      <w:r>
        <w:t xml:space="preserve">Se incluye un transceptor dedicado para los 2 canales del </w:t>
      </w:r>
      <w:r>
        <w:t xml:space="preserve">Bus </w:t>
      </w:r>
      <w:r>
        <w:t xml:space="preserve">CAN </w:t>
      </w:r>
      <w:r>
        <w:t>(CAN H/L), proporcionando inmunidad al ruido y un protocolo robusto para la telemetría cruzada con subsistemas vitales (como el EPS).</w:t>
      </w:r>
    </w:p>
    <w:p w:rsidR="008A1EC1" w:rsidRDefault="006563A3">
      <w:pPr>
        <w:pStyle w:val="Ttulo2"/>
        <w:tabs>
          <w:tab w:val="center" w:pos="4411"/>
        </w:tabs>
        <w:ind w:left="-15" w:firstLine="0"/>
      </w:pPr>
      <w:r>
        <w:t>3.3</w:t>
      </w:r>
      <w:r>
        <w:tab/>
        <w:t>Máquina de Estados y Modos de Operación</w:t>
      </w:r>
    </w:p>
    <w:p w:rsidR="008A1EC1" w:rsidRDefault="006563A3">
      <w:pPr>
        <w:spacing w:after="602" w:line="239" w:lineRule="auto"/>
        <w:ind w:left="-5" w:right="100"/>
        <w:jc w:val="left"/>
      </w:pPr>
      <w:r>
        <w:t>La computadora de a bordo gestiona todo el ciclo de vida de la misión a través de protocolos internos mediante tres estados principales de operación de software claramente delimitados:</w:t>
      </w:r>
    </w:p>
    <w:p w:rsidR="008A1EC1" w:rsidRDefault="006563A3">
      <w:pPr>
        <w:pStyle w:val="Ttulo3"/>
        <w:tabs>
          <w:tab w:val="center" w:pos="4130"/>
        </w:tabs>
        <w:ind w:left="-15" w:firstLine="0"/>
      </w:pPr>
      <w:r>
        <w:t>3.3.1</w:t>
      </w:r>
      <w:r>
        <w:tab/>
        <w:t>Modo Inicio (</w:t>
      </w:r>
      <w:proofErr w:type="spellStart"/>
      <w:r>
        <w:t>Deployment</w:t>
      </w:r>
      <w:proofErr w:type="spellEnd"/>
      <w:r>
        <w:t xml:space="preserve"> y Vuelo Temprano)</w:t>
      </w:r>
    </w:p>
    <w:p w:rsidR="008A1EC1" w:rsidRDefault="006563A3">
      <w:pPr>
        <w:spacing w:after="374"/>
        <w:ind w:left="-5" w:right="594"/>
      </w:pPr>
      <w:r>
        <w:t xml:space="preserve">Al eyectarse del inyector P-POD, el </w:t>
      </w:r>
      <w:proofErr w:type="spellStart"/>
      <w:r>
        <w:t>switch</w:t>
      </w:r>
      <w:proofErr w:type="spellEnd"/>
      <w:r>
        <w:t xml:space="preserve"> de desactivación físico libera la energía proveniente del EPS energizando el satélite. El OBC ingresa en el estado de inicio ejecutando la siguiente rutina estricta:</w:t>
      </w:r>
    </w:p>
    <w:p w:rsidR="008A1EC1" w:rsidRDefault="006563A3">
      <w:pPr>
        <w:numPr>
          <w:ilvl w:val="0"/>
          <w:numId w:val="8"/>
        </w:numPr>
        <w:spacing w:after="211"/>
        <w:ind w:right="594" w:hanging="299"/>
      </w:pPr>
      <w:r>
        <w:t xml:space="preserve">Temporizador de Silencio: </w:t>
      </w:r>
      <w:r>
        <w:t>Activación obligatori</w:t>
      </w:r>
      <w:r>
        <w:t>a de una ventana inactiva de 30 a 40 minutos sin ejecución de hardware crítico, permitiendo el alejamiento del vehículo lanzador.</w:t>
      </w:r>
    </w:p>
    <w:p w:rsidR="008A1EC1" w:rsidRDefault="006563A3">
      <w:pPr>
        <w:numPr>
          <w:ilvl w:val="0"/>
          <w:numId w:val="8"/>
        </w:numPr>
        <w:spacing w:after="199"/>
        <w:ind w:right="594" w:hanging="299"/>
      </w:pPr>
      <w:proofErr w:type="spellStart"/>
      <w:r>
        <w:t>Checklist</w:t>
      </w:r>
      <w:proofErr w:type="spellEnd"/>
      <w:r>
        <w:t xml:space="preserve"> de despliegue: </w:t>
      </w:r>
      <w:r>
        <w:t>La OBC evalúa los siguientes parámetros:</w:t>
      </w:r>
    </w:p>
    <w:p w:rsidR="008A1EC1" w:rsidRDefault="006563A3">
      <w:pPr>
        <w:numPr>
          <w:ilvl w:val="1"/>
          <w:numId w:val="8"/>
        </w:numPr>
        <w:spacing w:after="88"/>
        <w:ind w:right="281" w:hanging="234"/>
      </w:pPr>
      <w:r>
        <w:t>Consistencia de energía (consulta al EPS si la batería super</w:t>
      </w:r>
      <w:r>
        <w:t xml:space="preserve">a el </w:t>
      </w:r>
      <w:r>
        <w:rPr>
          <w:rFonts w:ascii="Cambria" w:eastAsia="Cambria" w:hAnsi="Cambria" w:cs="Cambria"/>
        </w:rPr>
        <w:t xml:space="preserve">70% </w:t>
      </w:r>
      <w:r>
        <w:t>de carga).</w:t>
      </w:r>
    </w:p>
    <w:p w:rsidR="008A1EC1" w:rsidRDefault="006563A3">
      <w:pPr>
        <w:numPr>
          <w:ilvl w:val="1"/>
          <w:numId w:val="8"/>
        </w:numPr>
        <w:spacing w:after="188"/>
        <w:ind w:right="281" w:hanging="234"/>
      </w:pPr>
      <w:r>
        <w:t>Estabilidad orbital (consulta al ADCS para mitigar rotaciones caóticas indeseadas y estabilizar el sistema).</w:t>
      </w:r>
    </w:p>
    <w:p w:rsidR="008A1EC1" w:rsidRDefault="006563A3">
      <w:pPr>
        <w:numPr>
          <w:ilvl w:val="0"/>
          <w:numId w:val="8"/>
        </w:numPr>
        <w:ind w:right="594" w:hanging="299"/>
      </w:pPr>
      <w:r>
        <w:t xml:space="preserve">Confirmados los niveles, ejecuta el despliegue físico de las antenas e ingresa al </w:t>
      </w:r>
      <w:r>
        <w:rPr>
          <w:i/>
        </w:rPr>
        <w:t>Modo Rutina</w:t>
      </w:r>
      <w:r>
        <w:t>. Si falla o los niveles no son óp</w:t>
      </w:r>
      <w:r>
        <w:t xml:space="preserve">timos, cae por contingencia al </w:t>
      </w:r>
      <w:r>
        <w:rPr>
          <w:i/>
        </w:rPr>
        <w:t>Modo de Seguridad</w:t>
      </w:r>
      <w:r>
        <w:t>.</w:t>
      </w:r>
    </w:p>
    <w:p w:rsidR="008A1EC1" w:rsidRDefault="008A1EC1">
      <w:pPr>
        <w:sectPr w:rsidR="008A1EC1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906" w:h="16838"/>
          <w:pgMar w:top="2018" w:right="993" w:bottom="104" w:left="1587" w:header="720" w:footer="720" w:gutter="0"/>
          <w:cols w:space="720"/>
        </w:sectPr>
      </w:pPr>
    </w:p>
    <w:p w:rsidR="008A1EC1" w:rsidRDefault="006563A3">
      <w:pPr>
        <w:pStyle w:val="Ttulo3"/>
        <w:tabs>
          <w:tab w:val="center" w:pos="3414"/>
        </w:tabs>
        <w:ind w:left="-15" w:firstLine="0"/>
      </w:pPr>
      <w:r>
        <w:lastRenderedPageBreak/>
        <w:t>3.3.2</w:t>
      </w:r>
      <w:r>
        <w:tab/>
        <w:t>Modo Rutina (Operación Nominal)</w:t>
      </w:r>
    </w:p>
    <w:p w:rsidR="008A1EC1" w:rsidRDefault="006563A3">
      <w:pPr>
        <w:spacing w:after="347"/>
        <w:ind w:left="-5" w:right="281"/>
      </w:pPr>
      <w:r>
        <w:t>El modo de operación estándar se enfoca cíclicamente en dos frentes simultáneos:</w:t>
      </w:r>
    </w:p>
    <w:p w:rsidR="008A1EC1" w:rsidRDefault="006563A3">
      <w:pPr>
        <w:numPr>
          <w:ilvl w:val="0"/>
          <w:numId w:val="9"/>
        </w:numPr>
        <w:spacing w:after="213"/>
        <w:ind w:hanging="234"/>
      </w:pPr>
      <w:r>
        <w:t>Enviar de manera periódica (continuamente por defecto en cada vuelta de orbita) los datos de telemetría o de sanidad del vehículo (</w:t>
      </w:r>
      <w:proofErr w:type="spellStart"/>
      <w:r>
        <w:rPr>
          <w:i/>
        </w:rPr>
        <w:t>Housekeeping</w:t>
      </w:r>
      <w:proofErr w:type="spellEnd"/>
      <w:r>
        <w:t>), proveyendo información del OB</w:t>
      </w:r>
      <w:r>
        <w:t>C, EPS y Radio.</w:t>
      </w:r>
    </w:p>
    <w:p w:rsidR="008A1EC1" w:rsidRDefault="006563A3">
      <w:pPr>
        <w:numPr>
          <w:ilvl w:val="0"/>
          <w:numId w:val="9"/>
        </w:numPr>
        <w:ind w:hanging="234"/>
      </w:pPr>
      <w:r>
        <w:t xml:space="preserve">Priorización de Cargas Útiles: </w:t>
      </w:r>
      <w:r>
        <w:t>Autoriza la ejecución de experimentos científicos (ej. adquisición de matriz en Microscopía), absorbe su información transaccional al banco de memorias, la empaca vía protocolo interno y la enruta íntegra para</w:t>
      </w:r>
      <w:r>
        <w:t xml:space="preserve"> su transmisión hacia la Tierra.</w:t>
      </w:r>
    </w:p>
    <w:p w:rsidR="008A1EC1" w:rsidRDefault="006563A3">
      <w:pPr>
        <w:pStyle w:val="Ttulo3"/>
        <w:tabs>
          <w:tab w:val="center" w:pos="3223"/>
        </w:tabs>
        <w:ind w:left="-15" w:firstLine="0"/>
      </w:pPr>
      <w:r>
        <w:t>3.3.3</w:t>
      </w:r>
      <w:r>
        <w:tab/>
        <w:t>Modo de Seguridad (</w:t>
      </w:r>
      <w:proofErr w:type="spellStart"/>
      <w:r>
        <w:t>Safe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:rsidR="008A1EC1" w:rsidRDefault="006563A3">
      <w:pPr>
        <w:spacing w:after="367"/>
        <w:ind w:left="-5"/>
      </w:pPr>
      <w:r>
        <w:t xml:space="preserve">Ante el fracaso del </w:t>
      </w:r>
      <w:r>
        <w:rPr>
          <w:i/>
        </w:rPr>
        <w:t xml:space="preserve">Modo Inicio </w:t>
      </w:r>
      <w:r>
        <w:t>o un error derivado de un evento severo (baja tensión, SEU), la máquina de estado suspende el Modo Rutina ingresando a la supervivencia extrema:</w:t>
      </w:r>
    </w:p>
    <w:p w:rsidR="008A1EC1" w:rsidRDefault="006563A3">
      <w:pPr>
        <w:numPr>
          <w:ilvl w:val="0"/>
          <w:numId w:val="10"/>
        </w:numPr>
        <w:spacing w:after="204"/>
        <w:ind w:hanging="299"/>
      </w:pPr>
      <w:r>
        <w:t>Corte Quir</w:t>
      </w:r>
      <w:r>
        <w:t xml:space="preserve">úrgico: </w:t>
      </w:r>
      <w:r>
        <w:t xml:space="preserve">Se apagan y retiran los puertos a subsistemas y </w:t>
      </w:r>
      <w:proofErr w:type="spellStart"/>
      <w:r>
        <w:t>payloads</w:t>
      </w:r>
      <w:proofErr w:type="spellEnd"/>
      <w:r>
        <w:t xml:space="preserve"> no vitales.</w:t>
      </w:r>
    </w:p>
    <w:p w:rsidR="008A1EC1" w:rsidRDefault="006563A3">
      <w:pPr>
        <w:numPr>
          <w:ilvl w:val="0"/>
          <w:numId w:val="10"/>
        </w:numPr>
        <w:spacing w:after="211"/>
        <w:ind w:hanging="299"/>
      </w:pPr>
      <w:r>
        <w:t xml:space="preserve">Transmisión Básica: </w:t>
      </w:r>
      <w:r>
        <w:t xml:space="preserve">Único envío periódico de telemetría </w:t>
      </w:r>
      <w:proofErr w:type="spellStart"/>
      <w:r>
        <w:t>Housekeeping</w:t>
      </w:r>
      <w:proofErr w:type="spellEnd"/>
      <w:r>
        <w:t xml:space="preserve"> (EPS, OBC, UHF).</w:t>
      </w:r>
    </w:p>
    <w:p w:rsidR="008A1EC1" w:rsidRDefault="006563A3">
      <w:pPr>
        <w:numPr>
          <w:ilvl w:val="0"/>
          <w:numId w:val="10"/>
        </w:numPr>
        <w:spacing w:after="198"/>
        <w:ind w:hanging="299"/>
      </w:pPr>
      <w:r>
        <w:t xml:space="preserve">Apuntamiento Activo Solar: </w:t>
      </w:r>
      <w:r>
        <w:t>Ordena al ADCS apuntar los paneles ininterrumpidamente hacia el sol.</w:t>
      </w:r>
    </w:p>
    <w:p w:rsidR="008A1EC1" w:rsidRDefault="006563A3">
      <w:pPr>
        <w:numPr>
          <w:ilvl w:val="0"/>
          <w:numId w:val="10"/>
        </w:numPr>
        <w:ind w:hanging="299"/>
      </w:pPr>
      <w:r>
        <w:t xml:space="preserve">Interbloqueo: </w:t>
      </w:r>
      <w:r>
        <w:t xml:space="preserve">El satélite se suspende escuchando </w:t>
      </w:r>
      <w:proofErr w:type="spellStart"/>
      <w:r>
        <w:t>telecomandos</w:t>
      </w:r>
      <w:proofErr w:type="spellEnd"/>
      <w:r>
        <w:t xml:space="preserve"> críticos de Tierra para inyectar correcciones asincrónicas (</w:t>
      </w:r>
      <w:proofErr w:type="spellStart"/>
      <w:r>
        <w:t>resets</w:t>
      </w:r>
      <w:proofErr w:type="spellEnd"/>
      <w:r>
        <w:t xml:space="preserve"> estructurados del código fuente, forzar rutinas o subsanar</w:t>
      </w:r>
      <w:r>
        <w:t xml:space="preserve"> la máquina de estados) para retornar manualmente al Modo Rutina.</w:t>
      </w:r>
    </w:p>
    <w:p w:rsidR="008A1EC1" w:rsidRDefault="006563A3">
      <w:pPr>
        <w:spacing w:after="0" w:line="259" w:lineRule="auto"/>
        <w:ind w:left="-1587" w:right="10318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1285215</wp:posOffset>
            </wp:positionH>
            <wp:positionV relativeFrom="page">
              <wp:posOffset>1263066</wp:posOffset>
            </wp:positionV>
            <wp:extent cx="4992625" cy="9406128"/>
            <wp:effectExtent l="0" t="0" r="0" b="0"/>
            <wp:wrapTopAndBottom/>
            <wp:docPr id="20713" name="Picture 20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" name="Picture 2071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940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A1EC1" w:rsidRDefault="006563A3">
      <w:pPr>
        <w:spacing w:after="263" w:line="259" w:lineRule="auto"/>
        <w:ind w:left="2846" w:firstLine="0"/>
        <w:jc w:val="left"/>
      </w:pPr>
      <w:r>
        <w:rPr>
          <w:noProof/>
        </w:rPr>
        <w:lastRenderedPageBreak/>
        <w:drawing>
          <wp:inline distT="0" distB="0" distL="0" distR="0">
            <wp:extent cx="1929524" cy="3600108"/>
            <wp:effectExtent l="0" t="0" r="0" b="0"/>
            <wp:docPr id="958" name="Picture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524" cy="360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C1" w:rsidRDefault="006563A3">
      <w:pPr>
        <w:spacing w:after="11"/>
        <w:ind w:left="1318" w:right="281"/>
      </w:pPr>
      <w:r>
        <w:t>Figure 3.2: Flujogramas del modo de operación del satélite.</w:t>
      </w:r>
    </w:p>
    <w:p w:rsidR="008A1EC1" w:rsidRDefault="008A1EC1">
      <w:pPr>
        <w:sectPr w:rsidR="008A1EC1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6" w:h="16838"/>
          <w:pgMar w:top="2042" w:right="1587" w:bottom="4829" w:left="1587" w:header="794" w:footer="104" w:gutter="0"/>
          <w:cols w:space="720"/>
        </w:sectPr>
      </w:pP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4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EPS – Sistema de Energía</w:t>
      </w:r>
    </w:p>
    <w:p w:rsidR="008A1EC1" w:rsidRDefault="006563A3">
      <w:pPr>
        <w:pStyle w:val="Ttulo2"/>
        <w:tabs>
          <w:tab w:val="center" w:pos="3279"/>
        </w:tabs>
        <w:ind w:left="-15" w:firstLine="0"/>
      </w:pPr>
      <w:r>
        <w:t>4.1</w:t>
      </w:r>
      <w:r>
        <w:tab/>
        <w:t>Visión general del Subsistema</w:t>
      </w:r>
    </w:p>
    <w:p w:rsidR="008A1EC1" w:rsidRDefault="006563A3">
      <w:pPr>
        <w:spacing w:after="693"/>
        <w:ind w:left="-5" w:right="281"/>
      </w:pPr>
      <w:r>
        <w:t xml:space="preserve">El subsistema de control de Electricidad Térmica y Potencia (EPS,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es el encargado primario de tres misiones en órbita LEO: recolección energética celular, protección temporal/almacenamiento mediante celdas de batería y acondicionam</w:t>
      </w:r>
      <w:r>
        <w:t>iento y distribución segura a todo el bus de carga. Adicionalmente, el EPS orquesta indirectamente la vida del satélite al controlar los interruptores principales (</w:t>
      </w:r>
      <w:proofErr w:type="spellStart"/>
      <w:r>
        <w:t>Kill-Switches</w:t>
      </w:r>
      <w:proofErr w:type="spellEnd"/>
      <w:r>
        <w:t>).</w:t>
      </w:r>
    </w:p>
    <w:p w:rsidR="008A1EC1" w:rsidRDefault="006563A3">
      <w:pPr>
        <w:pStyle w:val="Ttulo2"/>
        <w:tabs>
          <w:tab w:val="center" w:pos="4147"/>
        </w:tabs>
        <w:ind w:left="-15" w:firstLine="0"/>
      </w:pPr>
      <w:r>
        <w:t>4.2</w:t>
      </w:r>
      <w:r>
        <w:tab/>
        <w:t>Generación de Energía (Paneles Solares)</w:t>
      </w:r>
    </w:p>
    <w:p w:rsidR="008A1EC1" w:rsidRDefault="006563A3">
      <w:pPr>
        <w:spacing w:after="300"/>
        <w:ind w:left="-5" w:right="281"/>
      </w:pPr>
      <w:r>
        <w:t>La fuente de energía para INTISA</w:t>
      </w:r>
      <w:r>
        <w:t xml:space="preserve">T está dotada por arreglos adosados de celdas solares (típicamente celdas fotovoltaicas de triple unión de alta eficiencia y certificación espacial, como </w:t>
      </w:r>
      <w:proofErr w:type="spellStart"/>
      <w:r>
        <w:t>Emcore</w:t>
      </w:r>
      <w:proofErr w:type="spellEnd"/>
      <w:r>
        <w:t xml:space="preserve"> o </w:t>
      </w:r>
      <w:proofErr w:type="spellStart"/>
      <w:r>
        <w:t>AzurSpace</w:t>
      </w:r>
      <w:proofErr w:type="spellEnd"/>
      <w:r>
        <w:t xml:space="preserve">) dispuestas a lo largo y ancho de caras externas del prisma del diseño </w:t>
      </w:r>
      <w:proofErr w:type="spellStart"/>
      <w:r>
        <w:t>CubeSat</w:t>
      </w:r>
      <w:proofErr w:type="spellEnd"/>
      <w:r>
        <w:t>.</w:t>
      </w:r>
    </w:p>
    <w:p w:rsidR="008A1EC1" w:rsidRDefault="006563A3">
      <w:pPr>
        <w:spacing w:after="693"/>
        <w:ind w:left="585" w:right="281" w:hanging="234"/>
      </w:pPr>
      <w:r>
        <w:t xml:space="preserve">• </w:t>
      </w:r>
      <w:r>
        <w:t>G</w:t>
      </w:r>
      <w:r>
        <w:t xml:space="preserve">estión de Generación: </w:t>
      </w:r>
      <w:r>
        <w:t xml:space="preserve">La tarjeta del procesador del EPS procesa la entrada de energía a través de algoritmos lógicos de Seguimiento de Punto de Máxima Potencia (MPPT -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Point Tracking), garantizando maximizar el flujo en condiciones muy variab</w:t>
      </w:r>
      <w:r>
        <w:t>les de irradiación térmica y lumínica y optimizando la eficiencia de los paneles.</w:t>
      </w:r>
    </w:p>
    <w:p w:rsidR="008A1EC1" w:rsidRDefault="006563A3">
      <w:pPr>
        <w:pStyle w:val="Ttulo2"/>
        <w:tabs>
          <w:tab w:val="center" w:pos="4789"/>
        </w:tabs>
        <w:ind w:left="-15" w:firstLine="0"/>
      </w:pPr>
      <w:r>
        <w:t>4.3</w:t>
      </w:r>
      <w:r>
        <w:tab/>
        <w:t>Almacenamiento y Capacidad (</w:t>
      </w:r>
      <w:proofErr w:type="spellStart"/>
      <w:r>
        <w:t>Battery</w:t>
      </w:r>
      <w:proofErr w:type="spellEnd"/>
      <w:r>
        <w:t xml:space="preserve"> Module)</w:t>
      </w:r>
    </w:p>
    <w:p w:rsidR="008A1EC1" w:rsidRDefault="006563A3">
      <w:pPr>
        <w:spacing w:after="290"/>
        <w:ind w:left="-5" w:right="281"/>
      </w:pPr>
      <w:r>
        <w:t>Todo exceso de energía cosechada respecto a los consumos inmediatos en la fase soleada (In-</w:t>
      </w:r>
      <w:proofErr w:type="spellStart"/>
      <w:r>
        <w:t>Sunlight</w:t>
      </w:r>
      <w:proofErr w:type="spellEnd"/>
      <w:r>
        <w:t>) se direcciona de manera p</w:t>
      </w:r>
      <w:r>
        <w:t xml:space="preserve">rioritaria al </w:t>
      </w:r>
      <w:proofErr w:type="spellStart"/>
      <w:r>
        <w:rPr>
          <w:i/>
        </w:rPr>
        <w:t>Battery</w:t>
      </w:r>
      <w:proofErr w:type="spellEnd"/>
      <w:r>
        <w:rPr>
          <w:i/>
        </w:rPr>
        <w:t xml:space="preserve"> Module</w:t>
      </w:r>
      <w:r>
        <w:t>.</w:t>
      </w:r>
    </w:p>
    <w:p w:rsidR="008A1EC1" w:rsidRDefault="006563A3">
      <w:pPr>
        <w:numPr>
          <w:ilvl w:val="0"/>
          <w:numId w:val="11"/>
        </w:numPr>
        <w:ind w:right="281" w:hanging="234"/>
      </w:pPr>
      <w:r>
        <w:t xml:space="preserve">Celdas: </w:t>
      </w:r>
      <w:r>
        <w:t xml:space="preserve">Compuesto por celdas robustas de Ion </w:t>
      </w:r>
      <w:proofErr w:type="spellStart"/>
      <w:r>
        <w:t>Lítio</w:t>
      </w:r>
      <w:proofErr w:type="spellEnd"/>
      <w:r>
        <w:t xml:space="preserve"> integradas en serie/paralelo (formato 18650), con protección de calentadores térmicos internos para sobrepasar los eclipses orbitales LEO sin congelar los electrolitos.</w:t>
      </w:r>
    </w:p>
    <w:p w:rsidR="008A1EC1" w:rsidRDefault="006563A3">
      <w:pPr>
        <w:numPr>
          <w:ilvl w:val="0"/>
          <w:numId w:val="11"/>
        </w:numPr>
        <w:spacing w:after="705"/>
        <w:ind w:right="281" w:hanging="234"/>
      </w:pPr>
      <w:proofErr w:type="spellStart"/>
      <w:r>
        <w:t>Batter</w:t>
      </w:r>
      <w:r>
        <w:t>y</w:t>
      </w:r>
      <w:proofErr w:type="spellEnd"/>
      <w:r>
        <w:t xml:space="preserve"> Management </w:t>
      </w:r>
      <w:proofErr w:type="spellStart"/>
      <w:r>
        <w:t>System</w:t>
      </w:r>
      <w:proofErr w:type="spellEnd"/>
      <w:r>
        <w:t xml:space="preserve"> (BMS): </w:t>
      </w:r>
      <w:r>
        <w:t xml:space="preserve">Mide constantemente la profundidad de descarga (Depth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- </w:t>
      </w:r>
      <w:proofErr w:type="spellStart"/>
      <w:r>
        <w:t>DoD</w:t>
      </w:r>
      <w:proofErr w:type="spellEnd"/>
      <w:r>
        <w:t xml:space="preserve">), voltajes diferenciales de las celdas, amperajes </w:t>
      </w:r>
      <w:r>
        <w:lastRenderedPageBreak/>
        <w:t xml:space="preserve">y termistores, realimentando al módulo EPS con parámetros de advertencia para evitar </w:t>
      </w:r>
      <w:proofErr w:type="spellStart"/>
      <w:r>
        <w:t>sub-voltajes</w:t>
      </w:r>
      <w:proofErr w:type="spellEnd"/>
      <w:r>
        <w:t xml:space="preserve"> destruct</w:t>
      </w:r>
      <w:r>
        <w:t>ivos.</w:t>
      </w:r>
    </w:p>
    <w:p w:rsidR="008A1EC1" w:rsidRDefault="006563A3">
      <w:pPr>
        <w:pStyle w:val="Ttulo2"/>
        <w:tabs>
          <w:tab w:val="center" w:pos="4538"/>
        </w:tabs>
        <w:ind w:left="-15" w:firstLine="0"/>
      </w:pPr>
      <w:r>
        <w:t>4.4</w:t>
      </w:r>
      <w:r>
        <w:tab/>
        <w:t>Acondicionamiento, Distribución y Seguridad</w:t>
      </w:r>
    </w:p>
    <w:p w:rsidR="008A1EC1" w:rsidRDefault="006563A3">
      <w:pPr>
        <w:spacing w:after="380"/>
        <w:ind w:left="-5" w:right="281"/>
      </w:pPr>
      <w:r>
        <w:t>La potencia es segmentada de la batería para transformarla mediante sistemas estabilizadores (DC-DC) a líneas reguladas estándares (ej. 3.3V y 5V) y la línea nativa no regulada (</w:t>
      </w:r>
      <w:proofErr w:type="spellStart"/>
      <w:r>
        <w:rPr>
          <w:rFonts w:ascii="Cambria" w:eastAsia="Cambria" w:hAnsi="Cambria" w:cs="Cambria"/>
          <w:i/>
        </w:rPr>
        <w:t>V</w:t>
      </w:r>
      <w:r>
        <w:rPr>
          <w:rFonts w:ascii="Cambria" w:eastAsia="Cambria" w:hAnsi="Cambria" w:cs="Cambria"/>
          <w:i/>
          <w:vertAlign w:val="subscript"/>
        </w:rPr>
        <w:t>batt</w:t>
      </w:r>
      <w:proofErr w:type="spellEnd"/>
      <w:r>
        <w:t>).</w:t>
      </w:r>
    </w:p>
    <w:p w:rsidR="008A1EC1" w:rsidRDefault="006563A3">
      <w:pPr>
        <w:numPr>
          <w:ilvl w:val="0"/>
          <w:numId w:val="12"/>
        </w:numPr>
        <w:spacing w:after="218"/>
        <w:ind w:right="281" w:hanging="234"/>
      </w:pPr>
      <w:r>
        <w:t xml:space="preserve">Protección Analógica e Interfaz de Bus: </w:t>
      </w:r>
      <w:r>
        <w:t xml:space="preserve">Provee una protección inmediata de hardware mediante mitigación de </w:t>
      </w:r>
      <w:proofErr w:type="spellStart"/>
      <w:r>
        <w:t>Latch</w:t>
      </w:r>
      <w:proofErr w:type="spellEnd"/>
      <w:r>
        <w:t xml:space="preserve">-Ups Locales (LCL) que detectan cortocircuitos temporales inducidos por radiación o consumo desbordado de las cargas útiles cortando la energía </w:t>
      </w:r>
      <w:r>
        <w:t>de puertos individuales.</w:t>
      </w:r>
    </w:p>
    <w:p w:rsidR="008A1EC1" w:rsidRDefault="006563A3">
      <w:pPr>
        <w:numPr>
          <w:ilvl w:val="0"/>
          <w:numId w:val="12"/>
        </w:numPr>
        <w:ind w:right="281" w:hanging="234"/>
      </w:pPr>
      <w:r>
        <w:t xml:space="preserve">Integración (Interface Data </w:t>
      </w:r>
      <w:proofErr w:type="spellStart"/>
      <w:r>
        <w:t>Sheet</w:t>
      </w:r>
      <w:proofErr w:type="spellEnd"/>
      <w:r>
        <w:t xml:space="preserve">): </w:t>
      </w:r>
      <w:r>
        <w:t>El EPS se comunica de manera bidireccional mediante el I2C/CAN cruzado del PC-104 reportando telemetría de sanidad a la OBC e indicando el porcentaje de la batería constante, accionador central d</w:t>
      </w:r>
      <w:r>
        <w:t>e las rutinas contingentes.</w:t>
      </w:r>
      <w:r>
        <w:br w:type="page"/>
      </w: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5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ADCS – Control y Determinación de Actitud</w:t>
      </w:r>
    </w:p>
    <w:p w:rsidR="008A1EC1" w:rsidRDefault="006563A3">
      <w:pPr>
        <w:pStyle w:val="Ttulo2"/>
        <w:tabs>
          <w:tab w:val="center" w:pos="4390"/>
        </w:tabs>
        <w:spacing w:after="324"/>
        <w:ind w:left="-15" w:firstLine="0"/>
      </w:pPr>
      <w:r>
        <w:t>5.1</w:t>
      </w:r>
      <w:r>
        <w:tab/>
        <w:t>Introducción al Control de Posición Orbital</w:t>
      </w:r>
    </w:p>
    <w:p w:rsidR="008A1EC1" w:rsidRDefault="006563A3">
      <w:pPr>
        <w:spacing w:after="705"/>
        <w:ind w:left="-5" w:right="281"/>
      </w:pPr>
      <w:r>
        <w:t xml:space="preserve">El módulo de control de actitud (ADCS, </w:t>
      </w:r>
      <w:proofErr w:type="spellStart"/>
      <w:r>
        <w:rPr>
          <w:i/>
        </w:rPr>
        <w:t>Attitude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Determination</w:t>
      </w:r>
      <w:proofErr w:type="spellEnd"/>
      <w:r>
        <w:rPr>
          <w:i/>
        </w:rPr>
        <w:t xml:space="preserve"> and Control </w:t>
      </w:r>
      <w:proofErr w:type="spellStart"/>
      <w:r>
        <w:rPr>
          <w:i/>
        </w:rPr>
        <w:t>Subsystem</w:t>
      </w:r>
      <w:proofErr w:type="spellEnd"/>
      <w:r>
        <w:t>) tiene como fin estabilizar giros remanentes (</w:t>
      </w:r>
      <w:proofErr w:type="spellStart"/>
      <w:r>
        <w:t>detumbling</w:t>
      </w:r>
      <w:proofErr w:type="spellEnd"/>
      <w:r>
        <w:t>) arrastrados tras la eyección y fijar un referencial estable respecto a vectores terrestres. Operando de forma acoplada con el OBC, resulta crítico para la fase nominal de la misión (apuntamiento fo</w:t>
      </w:r>
      <w:r>
        <w:t>tográfico) y del Modo de Supervivencia.</w:t>
      </w:r>
    </w:p>
    <w:p w:rsidR="008A1EC1" w:rsidRDefault="006563A3">
      <w:pPr>
        <w:pStyle w:val="Ttulo2"/>
        <w:tabs>
          <w:tab w:val="center" w:pos="4086"/>
        </w:tabs>
        <w:spacing w:after="402"/>
        <w:ind w:left="-15" w:firstLine="0"/>
      </w:pPr>
      <w:r>
        <w:t>5.2</w:t>
      </w:r>
      <w:r>
        <w:tab/>
        <w:t>Esquema Pasivo y Dinámico de Actitud</w:t>
      </w:r>
    </w:p>
    <w:p w:rsidR="008A1EC1" w:rsidRDefault="006563A3">
      <w:pPr>
        <w:pStyle w:val="Ttulo3"/>
        <w:tabs>
          <w:tab w:val="center" w:pos="4101"/>
        </w:tabs>
        <w:ind w:left="-15" w:firstLine="0"/>
      </w:pPr>
      <w:r>
        <w:t>5.2.1</w:t>
      </w:r>
      <w:r>
        <w:tab/>
        <w:t>Estabilización Magnética Pasiva y Materiales</w:t>
      </w:r>
    </w:p>
    <w:p w:rsidR="008A1EC1" w:rsidRDefault="006563A3">
      <w:pPr>
        <w:spacing w:after="374"/>
        <w:ind w:left="-5" w:right="281"/>
      </w:pPr>
      <w:r>
        <w:t>El primer nivel de respuesta ante control de rotación de bajo costo es un diseño pasivo térmicamente tolerante:</w:t>
      </w:r>
    </w:p>
    <w:p w:rsidR="008A1EC1" w:rsidRDefault="006563A3">
      <w:pPr>
        <w:numPr>
          <w:ilvl w:val="0"/>
          <w:numId w:val="13"/>
        </w:numPr>
        <w:spacing w:after="214"/>
        <w:ind w:right="230" w:hanging="234"/>
      </w:pPr>
      <w:r>
        <w:t xml:space="preserve">Cuerpo Magnético Guía: </w:t>
      </w:r>
      <w:r>
        <w:t>Uno o más magnetos permanentes (ej. Neodimio N45) alojados directamente en el chasis o la tarjeta dedicada ADCS, que obligan al satélite a acoplarse y arrastrarse por las líneas estáticas magnéticas formadas por los polos Norte/Sur d</w:t>
      </w:r>
      <w:r>
        <w:t>el planeta (el eje de satélite busca alinearse latitudinalmente).</w:t>
      </w:r>
    </w:p>
    <w:p w:rsidR="008A1EC1" w:rsidRDefault="006563A3">
      <w:pPr>
        <w:numPr>
          <w:ilvl w:val="0"/>
          <w:numId w:val="13"/>
        </w:numPr>
        <w:ind w:right="230" w:hanging="234"/>
      </w:pPr>
      <w:r>
        <w:t>Barras disipativas (</w:t>
      </w:r>
      <w:proofErr w:type="spellStart"/>
      <w:r>
        <w:t>Hysteresis</w:t>
      </w:r>
      <w:proofErr w:type="spellEnd"/>
      <w:r>
        <w:t xml:space="preserve">): </w:t>
      </w:r>
      <w:r>
        <w:t xml:space="preserve">Cintas mecánicas perpendiculares a la fuerza (como </w:t>
      </w:r>
      <w:proofErr w:type="spellStart"/>
      <w:r>
        <w:rPr>
          <w:i/>
        </w:rPr>
        <w:t>Permanorm</w:t>
      </w:r>
      <w:proofErr w:type="spellEnd"/>
      <w:r>
        <w:t>) que inducen la fricción magnética generando amortiguamiento al esparcir la energía rotacional d</w:t>
      </w:r>
      <w:r>
        <w:t>escontrolada (</w:t>
      </w:r>
      <w:proofErr w:type="spellStart"/>
      <w:r>
        <w:rPr>
          <w:i/>
        </w:rPr>
        <w:t>detumbling</w:t>
      </w:r>
      <w:proofErr w:type="spellEnd"/>
      <w:r>
        <w:t xml:space="preserve">) del </w:t>
      </w:r>
      <w:proofErr w:type="spellStart"/>
      <w:r>
        <w:t>CubeSat</w:t>
      </w:r>
      <w:proofErr w:type="spellEnd"/>
      <w:r>
        <w:t xml:space="preserve"> convirtiéndola pasivamente en calor latente.</w:t>
      </w:r>
    </w:p>
    <w:p w:rsidR="008A1EC1" w:rsidRDefault="006563A3">
      <w:pPr>
        <w:pStyle w:val="Ttulo3"/>
        <w:tabs>
          <w:tab w:val="center" w:pos="3622"/>
        </w:tabs>
        <w:ind w:left="-15" w:firstLine="0"/>
      </w:pPr>
      <w:r>
        <w:t>5.2.2</w:t>
      </w:r>
      <w:r>
        <w:tab/>
        <w:t>Gestión Activa y Módulos de Sensores</w:t>
      </w:r>
    </w:p>
    <w:p w:rsidR="008A1EC1" w:rsidRDefault="006563A3">
      <w:pPr>
        <w:ind w:left="-5" w:right="281"/>
      </w:pPr>
      <w:r>
        <w:t>Para lograr la precisión necesaria para apuntar los paneles solares continuamente (</w:t>
      </w:r>
      <w:proofErr w:type="spellStart"/>
      <w:r>
        <w:t>SunPointing</w:t>
      </w:r>
      <w:proofErr w:type="spellEnd"/>
      <w:r>
        <w:t xml:space="preserve">) y asistir microscopía y ruteos de </w:t>
      </w:r>
      <w:r>
        <w:t>telecomunicación:</w:t>
      </w:r>
    </w:p>
    <w:p w:rsidR="008A1EC1" w:rsidRDefault="006563A3">
      <w:pPr>
        <w:numPr>
          <w:ilvl w:val="0"/>
          <w:numId w:val="14"/>
        </w:numPr>
        <w:spacing w:after="226"/>
        <w:ind w:right="281" w:hanging="234"/>
      </w:pPr>
      <w:r>
        <w:t xml:space="preserve">Determinación: </w:t>
      </w:r>
      <w:r>
        <w:t xml:space="preserve">Múltiples magnetómetros en los ejes cartesianos interactúan con Fotodiodos LDR </w:t>
      </w:r>
      <w:proofErr w:type="spellStart"/>
      <w:r>
        <w:t>sensando</w:t>
      </w:r>
      <w:proofErr w:type="spellEnd"/>
      <w:r>
        <w:t xml:space="preserve"> flujos solares orbitales. La matriz es alimentada al bus </w:t>
      </w:r>
      <w:r>
        <w:lastRenderedPageBreak/>
        <w:t>general de medición del ADCS leyendo con precisión angular de alta velocidad e</w:t>
      </w:r>
      <w:r>
        <w:t>l punto orbital actual.</w:t>
      </w:r>
    </w:p>
    <w:p w:rsidR="008A1EC1" w:rsidRDefault="006563A3">
      <w:pPr>
        <w:numPr>
          <w:ilvl w:val="0"/>
          <w:numId w:val="14"/>
        </w:numPr>
        <w:spacing w:after="0"/>
        <w:ind w:right="281" w:hanging="234"/>
      </w:pPr>
      <w:r>
        <w:t xml:space="preserve">Accionadores (Actuadores Dinámicos): </w:t>
      </w:r>
      <w:r>
        <w:t xml:space="preserve">Un conjunto de tres a más </w:t>
      </w:r>
      <w:proofErr w:type="spellStart"/>
      <w:r>
        <w:rPr>
          <w:i/>
        </w:rPr>
        <w:t>Magnetorquers</w:t>
      </w:r>
      <w:proofErr w:type="spellEnd"/>
      <w:r>
        <w:rPr>
          <w:i/>
        </w:rPr>
        <w:t xml:space="preserve"> </w:t>
      </w:r>
      <w:r>
        <w:t xml:space="preserve">(bobinas embebidas en las PCB con polarización reversible o tubos cilíndricos de cobre) provocan momentos dipolares artificiales contra el campo terrestre </w:t>
      </w:r>
      <w:r>
        <w:t xml:space="preserve">modificando voluntariamente la latitud para encauzar a la luz en los puertos fotovoltaicos, reaccionando estrictamente en el estado </w:t>
      </w:r>
      <w:r>
        <w:rPr>
          <w:i/>
        </w:rPr>
        <w:t xml:space="preserve">Modo de Seguridad </w:t>
      </w:r>
      <w:r>
        <w:t>a órdenes directas inyectadas por la OBC.</w:t>
      </w:r>
      <w:r>
        <w:br w:type="page"/>
      </w: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6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TTC – Telecomunicaciones</w:t>
      </w:r>
    </w:p>
    <w:p w:rsidR="008A1EC1" w:rsidRDefault="006563A3">
      <w:pPr>
        <w:pStyle w:val="Ttulo2"/>
        <w:tabs>
          <w:tab w:val="right" w:pos="9027"/>
        </w:tabs>
        <w:ind w:left="-15" w:firstLine="0"/>
      </w:pPr>
      <w:r>
        <w:t>6.1</w:t>
      </w:r>
      <w:r>
        <w:tab/>
        <w:t>Módulo de Rastreo, Telem</w:t>
      </w:r>
      <w:r>
        <w:t>etría y Comandos (TTC)</w:t>
      </w:r>
    </w:p>
    <w:p w:rsidR="008A1EC1" w:rsidRDefault="006563A3">
      <w:pPr>
        <w:spacing w:after="706"/>
        <w:ind w:left="-5" w:right="281"/>
      </w:pPr>
      <w:r>
        <w:t>El subsistema TTC (</w:t>
      </w:r>
      <w:proofErr w:type="spellStart"/>
      <w:r>
        <w:t>Telemetry</w:t>
      </w:r>
      <w:proofErr w:type="spellEnd"/>
      <w:r>
        <w:t xml:space="preserve">, Tracking and </w:t>
      </w:r>
      <w:proofErr w:type="spellStart"/>
      <w:r>
        <w:t>Command</w:t>
      </w:r>
      <w:proofErr w:type="spellEnd"/>
      <w:r>
        <w:t xml:space="preserve">) establece el enlace unificado de RF entre el Segmento Tierra (Estación INRAS y redes afiliadas) y el Segmento Espacial </w:t>
      </w:r>
      <w:proofErr w:type="spellStart"/>
      <w:r>
        <w:t>intetizado</w:t>
      </w:r>
      <w:proofErr w:type="spellEnd"/>
      <w:r>
        <w:t xml:space="preserve"> por el OBC.</w:t>
      </w:r>
    </w:p>
    <w:p w:rsidR="008A1EC1" w:rsidRDefault="006563A3">
      <w:pPr>
        <w:pStyle w:val="Ttulo2"/>
        <w:tabs>
          <w:tab w:val="center" w:pos="3627"/>
        </w:tabs>
        <w:spacing w:after="402"/>
        <w:ind w:left="-15" w:firstLine="0"/>
      </w:pPr>
      <w:r>
        <w:t>6.2</w:t>
      </w:r>
      <w:r>
        <w:tab/>
        <w:t>Arquitectura de Transmisión LEO</w:t>
      </w:r>
    </w:p>
    <w:p w:rsidR="008A1EC1" w:rsidRDefault="006563A3">
      <w:pPr>
        <w:pStyle w:val="Ttulo3"/>
        <w:tabs>
          <w:tab w:val="center" w:pos="3433"/>
        </w:tabs>
        <w:ind w:left="-15" w:firstLine="0"/>
      </w:pPr>
      <w:r>
        <w:t>6.2.1</w:t>
      </w:r>
      <w:r>
        <w:tab/>
        <w:t>Enlaces UHF/VHF y Segmentación</w:t>
      </w:r>
    </w:p>
    <w:p w:rsidR="008A1EC1" w:rsidRDefault="006563A3">
      <w:pPr>
        <w:spacing w:after="374"/>
        <w:ind w:left="-5" w:right="281"/>
      </w:pPr>
      <w:r>
        <w:t xml:space="preserve">El sistema de modulación interno asume todas las transmisiones segmentadas bajo </w:t>
      </w:r>
      <w:proofErr w:type="spellStart"/>
      <w:r>
        <w:t>sub-sistemas</w:t>
      </w:r>
      <w:proofErr w:type="spellEnd"/>
      <w:r>
        <w:t xml:space="preserve"> radiales acoplados:</w:t>
      </w:r>
    </w:p>
    <w:p w:rsidR="008A1EC1" w:rsidRDefault="006563A3">
      <w:pPr>
        <w:numPr>
          <w:ilvl w:val="0"/>
          <w:numId w:val="15"/>
        </w:numPr>
        <w:spacing w:after="241"/>
        <w:ind w:right="281" w:hanging="234"/>
      </w:pPr>
      <w:r>
        <w:t xml:space="preserve">Beacon (Baliza de Vida): </w:t>
      </w:r>
      <w:r>
        <w:t>Transmisor independiente periódicamente encendido por hardware que reporta teleme</w:t>
      </w:r>
      <w:r>
        <w:t>tría vital comprimida en CW Morse, AFSK o GMSK. Es la última barrera indicando modo de vida o reencendido sin requerir computación completa.</w:t>
      </w:r>
    </w:p>
    <w:p w:rsidR="008A1EC1" w:rsidRDefault="006563A3">
      <w:pPr>
        <w:numPr>
          <w:ilvl w:val="0"/>
          <w:numId w:val="15"/>
        </w:numPr>
        <w:ind w:right="281" w:hanging="234"/>
      </w:pPr>
      <w:r>
        <w:t>Enlace de Subida / Bajada (</w:t>
      </w:r>
      <w:proofErr w:type="spellStart"/>
      <w:r>
        <w:t>Uplink</w:t>
      </w:r>
      <w:proofErr w:type="spellEnd"/>
      <w:r>
        <w:t xml:space="preserve"> / </w:t>
      </w:r>
      <w:proofErr w:type="spellStart"/>
      <w:r>
        <w:t>Downlink</w:t>
      </w:r>
      <w:proofErr w:type="spellEnd"/>
      <w:r>
        <w:t xml:space="preserve"> UHF/VHF): </w:t>
      </w:r>
      <w:r>
        <w:t xml:space="preserve">Tránsito bidireccional semidúplex o dúplex. El </w:t>
      </w:r>
      <w:proofErr w:type="spellStart"/>
      <w:r>
        <w:t>Payload</w:t>
      </w:r>
      <w:proofErr w:type="spellEnd"/>
      <w:r>
        <w:t xml:space="preserve"> trans</w:t>
      </w:r>
      <w:r>
        <w:t xml:space="preserve">fiere hacia </w:t>
      </w:r>
      <w:proofErr w:type="spellStart"/>
      <w:r>
        <w:t>Downlink</w:t>
      </w:r>
      <w:proofErr w:type="spellEnd"/>
      <w:r>
        <w:t xml:space="preserve"> archivos crudos segmentados mediante paquetes CCSDS por el bus SPI al módem. El </w:t>
      </w:r>
      <w:proofErr w:type="spellStart"/>
      <w:r>
        <w:t>Uplink</w:t>
      </w:r>
      <w:proofErr w:type="spellEnd"/>
      <w:r>
        <w:t xml:space="preserve"> recibe comandos correctivos de tierra verificando CRC y un código seguro (HMAC/SHA) garantizando autorización para alterar la memoria operativa de a</w:t>
      </w:r>
      <w:r>
        <w:t>puntamiento.</w:t>
      </w:r>
    </w:p>
    <w:p w:rsidR="008A1EC1" w:rsidRDefault="006563A3">
      <w:pPr>
        <w:pStyle w:val="Ttulo2"/>
        <w:tabs>
          <w:tab w:val="center" w:pos="4675"/>
        </w:tabs>
        <w:spacing w:after="402"/>
        <w:ind w:left="-15" w:firstLine="0"/>
      </w:pPr>
      <w:r>
        <w:t>6.3</w:t>
      </w:r>
      <w:r>
        <w:tab/>
        <w:t>Antenas y Mecanismos de Despliegue Eléctrico</w:t>
      </w:r>
    </w:p>
    <w:p w:rsidR="008A1EC1" w:rsidRDefault="006563A3">
      <w:pPr>
        <w:pStyle w:val="Ttulo3"/>
        <w:tabs>
          <w:tab w:val="center" w:pos="3706"/>
        </w:tabs>
        <w:ind w:left="-15" w:firstLine="0"/>
      </w:pPr>
      <w:r>
        <w:t>6.3.1</w:t>
      </w:r>
      <w:r>
        <w:tab/>
        <w:t>Arquitectura Fija y Retención Balística</w:t>
      </w:r>
    </w:p>
    <w:p w:rsidR="008A1EC1" w:rsidRDefault="006563A3">
      <w:pPr>
        <w:spacing w:after="351"/>
        <w:ind w:left="-5" w:right="281"/>
      </w:pPr>
      <w:r>
        <w:t>El diseño de antena (comúnmente dipolos/monopolos o cintas metálicas cruzadas para ganancia isotrópica) requiere plegado volumétrico absoluto ajusta</w:t>
      </w:r>
      <w:r>
        <w:t xml:space="preserve">do al </w:t>
      </w:r>
      <w:proofErr w:type="spellStart"/>
      <w:r>
        <w:rPr>
          <w:i/>
        </w:rPr>
        <w:t>Form</w:t>
      </w:r>
      <w:proofErr w:type="spellEnd"/>
      <w:r>
        <w:rPr>
          <w:i/>
        </w:rPr>
        <w:t xml:space="preserve"> Factor </w:t>
      </w:r>
      <w:r>
        <w:t>de 2U.</w:t>
      </w:r>
    </w:p>
    <w:p w:rsidR="008A1EC1" w:rsidRDefault="006563A3">
      <w:pPr>
        <w:ind w:left="585" w:right="281" w:hanging="234"/>
      </w:pPr>
      <w:r>
        <w:lastRenderedPageBreak/>
        <w:t xml:space="preserve">• Se anclan inicialmente perimetralmente con alambres </w:t>
      </w:r>
      <w:proofErr w:type="spellStart"/>
      <w:r>
        <w:t>pre-tensionados</w:t>
      </w:r>
      <w:proofErr w:type="spellEnd"/>
      <w:r>
        <w:t xml:space="preserve"> mediante un polímero de nylon y unidos físicamente mediante resistencias quemadoras adyacentes a la estructura de PCB externa.</w:t>
      </w:r>
    </w:p>
    <w:p w:rsidR="008A1EC1" w:rsidRDefault="006563A3">
      <w:pPr>
        <w:pStyle w:val="Ttulo3"/>
        <w:tabs>
          <w:tab w:val="center" w:pos="3117"/>
        </w:tabs>
        <w:ind w:left="-15" w:firstLine="0"/>
      </w:pPr>
      <w:r>
        <w:t>6.3.2</w:t>
      </w:r>
      <w:r>
        <w:tab/>
        <w:t>Secuencia de Encendido Activ</w:t>
      </w:r>
      <w:r>
        <w:t>o</w:t>
      </w:r>
    </w:p>
    <w:p w:rsidR="008A1EC1" w:rsidRDefault="006563A3">
      <w:pPr>
        <w:ind w:left="-5" w:right="281"/>
      </w:pPr>
      <w:r>
        <w:t xml:space="preserve">La responsabilidad total de la liberación subyace al </w:t>
      </w:r>
      <w:r>
        <w:rPr>
          <w:i/>
        </w:rPr>
        <w:t xml:space="preserve">Modo de Inicio </w:t>
      </w:r>
      <w:r>
        <w:t>proveniente de la computadora de a bordo (OBC). Superada la ventana neutral de 30 a 45 min, el sistema eléctrico inyecta altas corrientes por una franja temporal (aprox. 5 a 10 segundos)</w:t>
      </w:r>
      <w:r>
        <w:t xml:space="preserve"> originando la desgasificación y termofusión del hilo Nylon y permitiendo el despliegue dinámico por rebote natural a la posición ortogonal predispuesta de cobertura de radio LEO omnidireccional.</w:t>
      </w:r>
    </w:p>
    <w:p w:rsidR="008A1EC1" w:rsidRDefault="006563A3">
      <w:pPr>
        <w:pStyle w:val="Ttulo1"/>
        <w:ind w:right="296"/>
      </w:pPr>
      <w:proofErr w:type="spellStart"/>
      <w:r>
        <w:t>Chapter</w:t>
      </w:r>
      <w:proofErr w:type="spellEnd"/>
      <w:r>
        <w:t xml:space="preserve"> 7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Cargas Útiles (</w:t>
      </w:r>
      <w:proofErr w:type="spellStart"/>
      <w:r>
        <w:rPr>
          <w:color w:val="002855"/>
          <w:sz w:val="34"/>
        </w:rPr>
        <w:t>Payloads</w:t>
      </w:r>
      <w:proofErr w:type="spellEnd"/>
      <w:r>
        <w:rPr>
          <w:color w:val="002855"/>
          <w:sz w:val="34"/>
        </w:rPr>
        <w:t>)</w:t>
      </w:r>
    </w:p>
    <w:p w:rsidR="008A1EC1" w:rsidRDefault="006563A3">
      <w:pPr>
        <w:pStyle w:val="Ttulo2"/>
        <w:tabs>
          <w:tab w:val="center" w:pos="4428"/>
        </w:tabs>
        <w:ind w:left="-15" w:firstLine="0"/>
      </w:pPr>
      <w:r>
        <w:t>7.1</w:t>
      </w:r>
      <w:r>
        <w:tab/>
      </w:r>
      <w:r>
        <w:t>Descripción Estratégica de los Instrumentos</w:t>
      </w:r>
    </w:p>
    <w:p w:rsidR="008A1EC1" w:rsidRDefault="006563A3">
      <w:pPr>
        <w:spacing w:after="705"/>
        <w:ind w:left="-5" w:right="281"/>
      </w:pPr>
      <w:r>
        <w:t>La misión INTISAT incorpora como núcleo de evaluación orbital cargas útiles orientadas a la biometría óptica apoyadas por Inteligencia Artificial (IA). El objetivo es demostrar tecnologías de microscopía computac</w:t>
      </w:r>
      <w:r>
        <w:t xml:space="preserve">ional de bajo consumo y análisis tipo </w:t>
      </w:r>
      <w:r>
        <w:rPr>
          <w:i/>
        </w:rPr>
        <w:t xml:space="preserve">Edge Computing </w:t>
      </w:r>
      <w:r>
        <w:t xml:space="preserve">bajo restricciones severas de masa y potencia en plataformas tipo </w:t>
      </w:r>
      <w:proofErr w:type="spellStart"/>
      <w:r>
        <w:t>CubeSat</w:t>
      </w:r>
      <w:proofErr w:type="spellEnd"/>
      <w:r>
        <w:t>.</w:t>
      </w:r>
    </w:p>
    <w:p w:rsidR="008A1EC1" w:rsidRDefault="006563A3">
      <w:pPr>
        <w:pStyle w:val="Ttulo2"/>
        <w:tabs>
          <w:tab w:val="center" w:pos="3725"/>
        </w:tabs>
        <w:spacing w:after="402"/>
        <w:ind w:left="-15" w:firstLine="0"/>
      </w:pPr>
      <w:r>
        <w:t>7.2</w:t>
      </w:r>
      <w:r>
        <w:tab/>
        <w:t>Microscopía Computacional CMOS</w:t>
      </w:r>
    </w:p>
    <w:p w:rsidR="008A1EC1" w:rsidRDefault="006563A3">
      <w:pPr>
        <w:pStyle w:val="Ttulo3"/>
        <w:tabs>
          <w:tab w:val="center" w:pos="2452"/>
        </w:tabs>
        <w:ind w:left="-15" w:firstLine="0"/>
      </w:pPr>
      <w:r>
        <w:t>7.2.1</w:t>
      </w:r>
      <w:r>
        <w:tab/>
        <w:t>Arquitectura General</w:t>
      </w:r>
    </w:p>
    <w:p w:rsidR="008A1EC1" w:rsidRDefault="006563A3">
      <w:pPr>
        <w:ind w:left="-5" w:right="281"/>
      </w:pPr>
      <w:r>
        <w:t>El sistema de microscopía se organiza en cuatro bloques funcionales: adquisición óptica, iluminación, control/procesamiento y almacenamiento. Opera bajo una arquitectura centralizada donde una computadora de carga útil (basada en arquitecturas tipo ARM, co</w:t>
      </w:r>
      <w:r>
        <w:t>mo Raspberry Pi 5) coordina la captura, el control de la iluminación y la persistencia de metadatos, asegurando la trazabilidad experimental.</w:t>
      </w:r>
    </w:p>
    <w:p w:rsidR="008A1EC1" w:rsidRDefault="006563A3">
      <w:pPr>
        <w:pStyle w:val="Ttulo3"/>
        <w:tabs>
          <w:tab w:val="center" w:pos="4781"/>
        </w:tabs>
        <w:ind w:left="-15" w:firstLine="0"/>
      </w:pPr>
      <w:r>
        <w:lastRenderedPageBreak/>
        <w:t>7.2.2</w:t>
      </w:r>
      <w:r>
        <w:tab/>
        <w:t xml:space="preserve">Bloque de Adquisición Óptica (Configuración </w:t>
      </w:r>
      <w:proofErr w:type="spellStart"/>
      <w:r>
        <w:rPr>
          <w:i/>
        </w:rPr>
        <w:t>Lensless</w:t>
      </w:r>
      <w:proofErr w:type="spellEnd"/>
      <w:r>
        <w:t>)</w:t>
      </w:r>
    </w:p>
    <w:p w:rsidR="008A1EC1" w:rsidRDefault="006563A3">
      <w:pPr>
        <w:ind w:left="-5" w:right="281"/>
      </w:pPr>
      <w:r>
        <w:t>Está compuesto por un sensor CMOS comercial operando e</w:t>
      </w:r>
      <w:r>
        <w:t>n configuración de microscopía sin lentes (</w:t>
      </w:r>
      <w:proofErr w:type="spellStart"/>
      <w:r>
        <w:rPr>
          <w:i/>
        </w:rPr>
        <w:t>lensless</w:t>
      </w:r>
      <w:proofErr w:type="spellEnd"/>
      <w:r>
        <w:rPr>
          <w:i/>
        </w:rPr>
        <w:t>/</w:t>
      </w:r>
      <w:proofErr w:type="spellStart"/>
      <w:r>
        <w:rPr>
          <w:i/>
        </w:rPr>
        <w:t>contact</w:t>
      </w:r>
      <w:proofErr w:type="spellEnd"/>
      <w:r>
        <w:t xml:space="preserve">). En esta arquitectura, la muestra biológica o </w:t>
      </w:r>
      <w:proofErr w:type="spellStart"/>
      <w:r>
        <w:t>biomimética</w:t>
      </w:r>
      <w:proofErr w:type="spellEnd"/>
      <w:r>
        <w:t xml:space="preserve"> se coloca en contacto cercano con el plano del sensor, eliminando elementos ópticos refractivos. La imagen digital se forma a partir del </w:t>
      </w:r>
      <w:r>
        <w:t>registro directo de la distribución espacial de intensidad (patrón de difracción/sombra) producida por la interacción de la luz incidente con la muestra. Se prioriza el control manual de los tiempos de exposición y ganancia analógica para mantener una cali</w:t>
      </w:r>
      <w:r>
        <w:t>bración estricta y consistencia métrica.</w:t>
      </w:r>
    </w:p>
    <w:p w:rsidR="008A1EC1" w:rsidRDefault="006563A3">
      <w:pPr>
        <w:pStyle w:val="Ttulo3"/>
        <w:tabs>
          <w:tab w:val="center" w:pos="2523"/>
        </w:tabs>
        <w:ind w:left="-15" w:firstLine="0"/>
      </w:pPr>
      <w:r>
        <w:t>7.2.3</w:t>
      </w:r>
      <w:r>
        <w:tab/>
        <w:t>Bloque de Iluminación</w:t>
      </w:r>
    </w:p>
    <w:p w:rsidR="008A1EC1" w:rsidRDefault="006563A3">
      <w:pPr>
        <w:ind w:left="-5" w:right="281"/>
      </w:pPr>
      <w:r>
        <w:t>Desarrollado mediante un sistema plano y programable, el bloque genera patrones controlados en intensidad y geometría (iluminación uniforme para maximizar contraste o patrones estructurad</w:t>
      </w:r>
      <w:r>
        <w:t>os tipo rejilla/puntual) asegurando estabilidad temporal.</w:t>
      </w:r>
    </w:p>
    <w:p w:rsidR="008A1EC1" w:rsidRDefault="006563A3">
      <w:pPr>
        <w:pStyle w:val="Ttulo3"/>
        <w:tabs>
          <w:tab w:val="center" w:pos="3743"/>
        </w:tabs>
        <w:ind w:left="-15" w:firstLine="0"/>
      </w:pPr>
      <w:r>
        <w:t>7.2.4</w:t>
      </w:r>
      <w:r>
        <w:tab/>
        <w:t>Metodología de Validación y Metrología</w:t>
      </w:r>
    </w:p>
    <w:p w:rsidR="008A1EC1" w:rsidRDefault="006563A3">
      <w:pPr>
        <w:spacing w:after="716"/>
        <w:ind w:left="-5" w:right="281"/>
      </w:pPr>
      <w:r>
        <w:t>Debido a la naturaleza COTS del conjunto y a la ausencia de calibración de fábrica, la validación de la escala espacial (</w:t>
      </w:r>
      <w:r>
        <w:rPr>
          <w:rFonts w:ascii="Cambria" w:eastAsia="Cambria" w:hAnsi="Cambria" w:cs="Cambria"/>
          <w:i/>
        </w:rPr>
        <w:t>µm/</w:t>
      </w:r>
      <w:r>
        <w:t>pixel) se asienta en la obser</w:t>
      </w:r>
      <w:r>
        <w:t xml:space="preserve">vación comparativa de objetos patrón, específicamente microesferas de poliestireno de diámetro nominal de 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</w:rPr>
        <w:t>µm</w:t>
      </w:r>
      <w:r>
        <w:t xml:space="preserve">. Antes del vuelo operacional, las muestras son verificadas </w:t>
      </w:r>
      <w:proofErr w:type="spellStart"/>
      <w:r>
        <w:t>cruzadamente</w:t>
      </w:r>
      <w:proofErr w:type="spellEnd"/>
      <w:r>
        <w:t xml:space="preserve"> empleando microscopía óptica calibrada de laboratorio y microscopía electr</w:t>
      </w:r>
      <w:r>
        <w:t xml:space="preserve">ónica de barrido (SEM), lo que permite acotar los errores causados por los límites de difracción del enfoque </w:t>
      </w:r>
      <w:proofErr w:type="spellStart"/>
      <w:r>
        <w:rPr>
          <w:i/>
        </w:rPr>
        <w:t>lensless</w:t>
      </w:r>
      <w:proofErr w:type="spellEnd"/>
      <w:r>
        <w:t>.</w:t>
      </w:r>
    </w:p>
    <w:p w:rsidR="008A1EC1" w:rsidRDefault="006563A3">
      <w:pPr>
        <w:pStyle w:val="Ttulo2"/>
        <w:tabs>
          <w:tab w:val="center" w:pos="3656"/>
        </w:tabs>
        <w:ind w:left="-15" w:firstLine="0"/>
      </w:pPr>
      <w:r>
        <w:t>7.3</w:t>
      </w:r>
      <w:r>
        <w:tab/>
        <w:t>Control y Procesamiento de Datos</w:t>
      </w:r>
    </w:p>
    <w:p w:rsidR="008A1EC1" w:rsidRDefault="006563A3">
      <w:pPr>
        <w:spacing w:after="719"/>
        <w:ind w:left="-5" w:right="281"/>
      </w:pPr>
      <w:r>
        <w:t xml:space="preserve">La computadora de carga útil actúa como núcleo lógico del sistema. Su rol se limita a las tareas de inicialización del sensor CSI/I2C, aplicación de exposición manual, captura de métricas elementales de saturación, y conjunción de las imágenes raw con sus </w:t>
      </w:r>
      <w:r>
        <w:t>respectivos metadatos operacionales (</w:t>
      </w:r>
      <w:proofErr w:type="spellStart"/>
      <w:r>
        <w:rPr>
          <w:i/>
        </w:rPr>
        <w:t>Sample</w:t>
      </w:r>
      <w:proofErr w:type="spellEnd"/>
      <w:r>
        <w:rPr>
          <w:i/>
        </w:rPr>
        <w:t xml:space="preserve"> Tag, </w:t>
      </w:r>
      <w:proofErr w:type="spellStart"/>
      <w:r>
        <w:rPr>
          <w:i/>
        </w:rPr>
        <w:t>ExposureTime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Timestamp</w:t>
      </w:r>
      <w:proofErr w:type="spellEnd"/>
      <w:r>
        <w:t>).</w:t>
      </w:r>
    </w:p>
    <w:p w:rsidR="008A1EC1" w:rsidRDefault="006563A3">
      <w:pPr>
        <w:pStyle w:val="Ttulo2"/>
        <w:tabs>
          <w:tab w:val="center" w:pos="2897"/>
        </w:tabs>
        <w:ind w:left="-15" w:firstLine="0"/>
      </w:pPr>
      <w:r>
        <w:t>7.4</w:t>
      </w:r>
      <w:r>
        <w:tab/>
        <w:t>Aceleración IA en Órbita</w:t>
      </w:r>
    </w:p>
    <w:p w:rsidR="008A1EC1" w:rsidRDefault="006563A3">
      <w:pPr>
        <w:ind w:left="-5" w:right="281"/>
      </w:pPr>
      <w:r>
        <w:t xml:space="preserve">El </w:t>
      </w:r>
      <w:proofErr w:type="spellStart"/>
      <w:r>
        <w:t>sub-bloque</w:t>
      </w:r>
      <w:proofErr w:type="spellEnd"/>
      <w:r>
        <w:t xml:space="preserve"> de aceleración de red neuronal tiene la función de inducir resoluciones matemáticas superiores o algoritmos de </w:t>
      </w:r>
      <w:r>
        <w:rPr>
          <w:i/>
        </w:rPr>
        <w:t>Super-</w:t>
      </w:r>
      <w:proofErr w:type="spellStart"/>
      <w:r>
        <w:rPr>
          <w:i/>
        </w:rPr>
        <w:t>Resolution</w:t>
      </w:r>
      <w:proofErr w:type="spellEnd"/>
      <w:r>
        <w:rPr>
          <w:i/>
        </w:rPr>
        <w:t xml:space="preserve"> </w:t>
      </w:r>
      <w:r>
        <w:t xml:space="preserve">sobre las </w:t>
      </w:r>
      <w:r>
        <w:t xml:space="preserve">capturas </w:t>
      </w:r>
      <w:proofErr w:type="spellStart"/>
      <w:r>
        <w:t>difractivas</w:t>
      </w:r>
      <w:proofErr w:type="spellEnd"/>
      <w:r>
        <w:t xml:space="preserve"> del bloque de microscopía sin generar pesos al enlace de radio. Esta implementación perite extraer la morfología e inferir parámetros vectoriales clave reduciendo el cuello de botella </w:t>
      </w:r>
      <w:r>
        <w:lastRenderedPageBreak/>
        <w:t>del enlace UHF/VHF, transmitiendo al segmento terre</w:t>
      </w:r>
      <w:r>
        <w:t>no información analizada y condensada.</w:t>
      </w:r>
    </w:p>
    <w:p w:rsidR="008A1EC1" w:rsidRDefault="006563A3">
      <w:pPr>
        <w:pStyle w:val="Ttulo1"/>
        <w:ind w:right="296"/>
      </w:pPr>
      <w:proofErr w:type="spellStart"/>
      <w:r>
        <w:t>Chapter</w:t>
      </w:r>
      <w:proofErr w:type="spellEnd"/>
      <w:r>
        <w:t xml:space="preserve"> 8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Estructura, Mecánica y Componentes Térmicos</w:t>
      </w:r>
    </w:p>
    <w:p w:rsidR="008A1EC1" w:rsidRDefault="006563A3">
      <w:pPr>
        <w:pStyle w:val="Ttulo2"/>
        <w:tabs>
          <w:tab w:val="center" w:pos="3839"/>
        </w:tabs>
        <w:ind w:left="-15" w:firstLine="0"/>
      </w:pPr>
      <w:r>
        <w:t>8.1</w:t>
      </w:r>
      <w:r>
        <w:tab/>
        <w:t>Diseño Estructural General Modular</w:t>
      </w:r>
    </w:p>
    <w:p w:rsidR="008A1EC1" w:rsidRDefault="006563A3">
      <w:pPr>
        <w:spacing w:after="706"/>
        <w:ind w:left="-5" w:right="281"/>
      </w:pPr>
      <w:r>
        <w:t xml:space="preserve">La chapa y fuselaje comprenden el contenedor maestro modular (esquema rígido estibado estándar internacional </w:t>
      </w:r>
      <w:proofErr w:type="spellStart"/>
      <w:r>
        <w:t>CubeSat</w:t>
      </w:r>
      <w:proofErr w:type="spellEnd"/>
      <w:r>
        <w:t xml:space="preserve"> en form</w:t>
      </w:r>
      <w:r>
        <w:t>ato 2U). Sus finalidades son dos: la resistencia a los estragos mecánicos de compresión y vibración que implican abandonar la superficie terrestre, y facilitar guías sólidas precisas (</w:t>
      </w:r>
      <w:proofErr w:type="spellStart"/>
      <w:r>
        <w:rPr>
          <w:i/>
        </w:rPr>
        <w:t>rails</w:t>
      </w:r>
      <w:proofErr w:type="spellEnd"/>
      <w:r>
        <w:rPr>
          <w:i/>
        </w:rPr>
        <w:t xml:space="preserve"> </w:t>
      </w:r>
      <w:r>
        <w:t>acanalados) permitiendo la inyección a alta velocidad al vacío des</w:t>
      </w:r>
      <w:r>
        <w:t>de el contenedor integrado del vehículo de lanzamiento.</w:t>
      </w:r>
    </w:p>
    <w:p w:rsidR="008A1EC1" w:rsidRDefault="006563A3">
      <w:pPr>
        <w:pStyle w:val="Ttulo2"/>
        <w:tabs>
          <w:tab w:val="center" w:pos="4607"/>
        </w:tabs>
        <w:spacing w:after="402"/>
        <w:ind w:left="-15" w:firstLine="0"/>
      </w:pPr>
      <w:r>
        <w:t>8.2</w:t>
      </w:r>
      <w:r>
        <w:tab/>
        <w:t>Diseño Estructural y Requerimientos de Masa</w:t>
      </w:r>
    </w:p>
    <w:p w:rsidR="008A1EC1" w:rsidRDefault="006563A3">
      <w:pPr>
        <w:pStyle w:val="Ttulo3"/>
        <w:tabs>
          <w:tab w:val="center" w:pos="3555"/>
        </w:tabs>
        <w:ind w:left="-15" w:firstLine="0"/>
      </w:pPr>
      <w:r>
        <w:t>8.2.1</w:t>
      </w:r>
      <w:r>
        <w:tab/>
        <w:t>Propiedades de Aleación Aeronáutica</w:t>
      </w:r>
    </w:p>
    <w:p w:rsidR="008A1EC1" w:rsidRDefault="006563A3">
      <w:pPr>
        <w:spacing w:after="383"/>
        <w:ind w:left="-5" w:right="281"/>
      </w:pPr>
      <w:r>
        <w:t xml:space="preserve">A nivel </w:t>
      </w:r>
      <w:proofErr w:type="spellStart"/>
      <w:r>
        <w:t>metalo</w:t>
      </w:r>
      <w:proofErr w:type="spellEnd"/>
      <w:r>
        <w:t>-mecánico, los parales verticales y escudos laterales (</w:t>
      </w:r>
      <w:proofErr w:type="spellStart"/>
      <w:r>
        <w:t>Ribs</w:t>
      </w:r>
      <w:proofErr w:type="spellEnd"/>
      <w:r>
        <w:t xml:space="preserve"> y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Panels</w:t>
      </w:r>
      <w:proofErr w:type="spellEnd"/>
      <w:r>
        <w:t>) están mecanizados y f</w:t>
      </w:r>
      <w:r>
        <w:t>resados desde origen en bloques sólidos de aluminio de uso aeroespacial COTS (series Al-7075-T73 o Al-6061-T6).</w:t>
      </w:r>
    </w:p>
    <w:p w:rsidR="008A1EC1" w:rsidRDefault="006563A3">
      <w:pPr>
        <w:numPr>
          <w:ilvl w:val="0"/>
          <w:numId w:val="16"/>
        </w:numPr>
        <w:spacing w:after="199"/>
        <w:ind w:right="281" w:hanging="234"/>
      </w:pPr>
      <w:r>
        <w:t xml:space="preserve">Robustez Superficial: </w:t>
      </w:r>
      <w:r>
        <w:t xml:space="preserve">El tratamiento químico estándar es el </w:t>
      </w:r>
      <w:r>
        <w:rPr>
          <w:i/>
        </w:rPr>
        <w:t xml:space="preserve">Anodizado duro </w:t>
      </w:r>
      <w:r>
        <w:t>combinado opcionalmente con tratamiento químico local de oro (</w:t>
      </w:r>
      <w:proofErr w:type="spellStart"/>
      <w:r>
        <w:t>Alodine</w:t>
      </w:r>
      <w:proofErr w:type="spellEnd"/>
      <w:r>
        <w:t>). Esto incrementa exponencialmente la dureza superficial y previene la fatiga molecular.</w:t>
      </w:r>
    </w:p>
    <w:p w:rsidR="008A1EC1" w:rsidRDefault="006563A3">
      <w:pPr>
        <w:numPr>
          <w:ilvl w:val="0"/>
          <w:numId w:val="16"/>
        </w:numPr>
        <w:ind w:right="281" w:hanging="234"/>
      </w:pPr>
      <w:proofErr w:type="spellStart"/>
      <w:r>
        <w:t>Cold-Welding</w:t>
      </w:r>
      <w:proofErr w:type="spellEnd"/>
      <w:r>
        <w:t xml:space="preserve">: </w:t>
      </w:r>
      <w:r>
        <w:t>La recubierta previene que zonas donde el aluminio frote durante altos niveles de e</w:t>
      </w:r>
      <w:r>
        <w:t>strés acústico dentro del cañón del cohete experimenten soldadura por fricción al vacío (</w:t>
      </w:r>
      <w:proofErr w:type="spellStart"/>
      <w:r>
        <w:rPr>
          <w:i/>
        </w:rPr>
        <w:t>Vacuum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cold-welding</w:t>
      </w:r>
      <w:proofErr w:type="spellEnd"/>
      <w:r>
        <w:t>).</w:t>
      </w:r>
    </w:p>
    <w:p w:rsidR="008A1EC1" w:rsidRDefault="006563A3">
      <w:pPr>
        <w:pStyle w:val="Ttulo3"/>
        <w:tabs>
          <w:tab w:val="center" w:pos="4501"/>
        </w:tabs>
        <w:ind w:left="-15" w:firstLine="0"/>
      </w:pPr>
      <w:r>
        <w:t>8.2.2</w:t>
      </w:r>
      <w:r>
        <w:tab/>
        <w:t>Estandarización de Geometría y Tolerancia del CG</w:t>
      </w:r>
    </w:p>
    <w:p w:rsidR="008A1EC1" w:rsidRDefault="006563A3">
      <w:pPr>
        <w:ind w:left="-5" w:right="281"/>
      </w:pPr>
      <w:r>
        <w:t>Por restricciones normadas, la suma modular empírica de todas las subetapas se anota forma</w:t>
      </w:r>
      <w:r>
        <w:t xml:space="preserve">lmente en el </w:t>
      </w:r>
      <w:r>
        <w:t>Reporte de Centro de Gravedad y Masa Geométrico</w:t>
      </w:r>
      <w:r>
        <w:t>.</w:t>
      </w:r>
    </w:p>
    <w:p w:rsidR="008A1EC1" w:rsidRDefault="006563A3">
      <w:pPr>
        <w:spacing w:after="706"/>
        <w:ind w:left="585" w:right="281" w:hanging="234"/>
      </w:pPr>
      <w:r>
        <w:lastRenderedPageBreak/>
        <w:t xml:space="preserve">• La distribución apilada (PC-104 </w:t>
      </w:r>
      <w:proofErr w:type="spellStart"/>
      <w:r>
        <w:t>Stacking</w:t>
      </w:r>
      <w:proofErr w:type="spellEnd"/>
      <w:r>
        <w:t>) en un 2U requiere un CG ubicado a escasos milímetros del centro geométrico ideal en los 3 ejes (</w:t>
      </w:r>
      <w:r>
        <w:rPr>
          <w:rFonts w:ascii="Cambria" w:eastAsia="Cambria" w:hAnsi="Cambria" w:cs="Cambria"/>
          <w:i/>
        </w:rPr>
        <w:t>&lt;</w:t>
      </w:r>
      <w:r>
        <w:rPr>
          <w:rFonts w:ascii="Cambria" w:eastAsia="Cambria" w:hAnsi="Cambria" w:cs="Cambria"/>
        </w:rPr>
        <w:t>2</w:t>
      </w:r>
      <w:r>
        <w:t>cm de tolerancia) para impedir que el vehículo desar</w:t>
      </w:r>
      <w:r>
        <w:t xml:space="preserve">rolle impulsos rotacionales parásitos </w:t>
      </w:r>
      <w:proofErr w:type="spellStart"/>
      <w:r>
        <w:t>posteyección</w:t>
      </w:r>
      <w:proofErr w:type="spellEnd"/>
      <w:r>
        <w:t>, asegurando que ADCS pueda calmar en los días iniciales los momentos polares residuales.</w:t>
      </w:r>
    </w:p>
    <w:p w:rsidR="008A1EC1" w:rsidRDefault="006563A3">
      <w:pPr>
        <w:pStyle w:val="Ttulo2"/>
        <w:tabs>
          <w:tab w:val="center" w:pos="4817"/>
        </w:tabs>
        <w:ind w:left="-15" w:firstLine="0"/>
      </w:pPr>
      <w:r>
        <w:t>8.3</w:t>
      </w:r>
      <w:r>
        <w:tab/>
        <w:t>Simulación y Análisis de Elementos Finitos (FEA)</w:t>
      </w:r>
    </w:p>
    <w:p w:rsidR="008A1EC1" w:rsidRDefault="006563A3">
      <w:pPr>
        <w:spacing w:after="382"/>
        <w:ind w:left="-5" w:right="281"/>
      </w:pPr>
      <w:r>
        <w:t>El modelado paramétrico CAD ha derivado en una estructura optimizada (aligerando material redundante mediante recortes en la cara principal de paneles solares) que se ha validado de manera virtual:</w:t>
      </w:r>
    </w:p>
    <w:p w:rsidR="008A1EC1" w:rsidRDefault="006563A3">
      <w:pPr>
        <w:numPr>
          <w:ilvl w:val="0"/>
          <w:numId w:val="17"/>
        </w:numPr>
        <w:spacing w:after="205"/>
        <w:ind w:right="281" w:hanging="234"/>
      </w:pPr>
      <w:r>
        <w:t xml:space="preserve">Modos Dinámicos de Resonancia: </w:t>
      </w:r>
      <w:r>
        <w:t>Comprobación teórica de rig</w:t>
      </w:r>
      <w:r>
        <w:t xml:space="preserve">idez con el primer modo de resonancia natural aislado por sobre los </w:t>
      </w:r>
      <w:r>
        <w:rPr>
          <w:rFonts w:ascii="Cambria" w:eastAsia="Cambria" w:hAnsi="Cambria" w:cs="Cambria"/>
        </w:rPr>
        <w:t>100</w:t>
      </w:r>
      <w:r>
        <w:t xml:space="preserve">Hz, desacoplando de esta forma al chasis satelital de la acústica destructiva y la frecuencia natural transmitida históricamente por los </w:t>
      </w:r>
      <w:proofErr w:type="spellStart"/>
      <w:r>
        <w:t>pre-moduladores</w:t>
      </w:r>
      <w:proofErr w:type="spellEnd"/>
      <w:r>
        <w:t xml:space="preserve"> dinámicos del cohete </w:t>
      </w:r>
      <w:proofErr w:type="spellStart"/>
      <w:r>
        <w:t>interetapar</w:t>
      </w:r>
      <w:proofErr w:type="spellEnd"/>
      <w:r>
        <w:t xml:space="preserve"> inyector.</w:t>
      </w:r>
    </w:p>
    <w:p w:rsidR="008A1EC1" w:rsidRDefault="006563A3">
      <w:pPr>
        <w:numPr>
          <w:ilvl w:val="0"/>
          <w:numId w:val="17"/>
        </w:numPr>
        <w:ind w:right="281" w:hanging="234"/>
      </w:pPr>
      <w:r>
        <w:t xml:space="preserve">Esfuerzos Estáticos: </w:t>
      </w:r>
      <w:r>
        <w:t xml:space="preserve">Verificación de esfuerzo axial longitudinal simulando fuerzas de gravedad extrema de entre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10</w:t>
      </w:r>
      <w:r>
        <w:t>g y un margen de seguridad elástico conservador del 1.25 según recomendaciones del GSFC-NASA estándar.</w:t>
      </w:r>
    </w:p>
    <w:p w:rsidR="008A1EC1" w:rsidRDefault="006563A3">
      <w:pPr>
        <w:pStyle w:val="Ttulo1"/>
        <w:ind w:right="296"/>
      </w:pPr>
      <w:proofErr w:type="spellStart"/>
      <w:r>
        <w:t>Chapter</w:t>
      </w:r>
      <w:proofErr w:type="spellEnd"/>
      <w:r>
        <w:t xml:space="preserve"> 9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Control Térmico</w:t>
      </w:r>
    </w:p>
    <w:p w:rsidR="008A1EC1" w:rsidRDefault="006563A3">
      <w:pPr>
        <w:pStyle w:val="Ttulo2"/>
        <w:tabs>
          <w:tab w:val="center" w:pos="3926"/>
        </w:tabs>
        <w:ind w:left="-15" w:firstLine="0"/>
      </w:pPr>
      <w:r>
        <w:t>9.1</w:t>
      </w:r>
      <w:r>
        <w:tab/>
        <w:t>Mecanismos de Control Térmico LEO</w:t>
      </w:r>
    </w:p>
    <w:p w:rsidR="008A1EC1" w:rsidRDefault="006563A3">
      <w:pPr>
        <w:ind w:left="-5" w:right="281"/>
      </w:pPr>
      <w:r>
        <w:t>El control térmico del nanosatélite INTISAT es transversal; protege al hardware de sobrevivir a los extremos ciclos orbitales intermedios entre iluminación solar directa severa (</w:t>
      </w:r>
      <w:r>
        <w:rPr>
          <w:rFonts w:ascii="Cambria" w:eastAsia="Cambria" w:hAnsi="Cambria" w:cs="Cambria"/>
        </w:rPr>
        <w:t xml:space="preserve">+100 </w:t>
      </w:r>
      <w:r>
        <w:rPr>
          <w:rFonts w:ascii="Cambria" w:eastAsia="Cambria" w:hAnsi="Cambria" w:cs="Cambria"/>
          <w:vertAlign w:val="superscript"/>
        </w:rPr>
        <w:t>◦</w:t>
      </w:r>
      <w:r>
        <w:t>C) y profundos eclipses de umbra p</w:t>
      </w:r>
      <w:r>
        <w:t>or la Tierra (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40 </w:t>
      </w:r>
      <w:r>
        <w:rPr>
          <w:rFonts w:ascii="Cambria" w:eastAsia="Cambria" w:hAnsi="Cambria" w:cs="Cambria"/>
          <w:vertAlign w:val="superscript"/>
        </w:rPr>
        <w:t>◦</w:t>
      </w:r>
      <w:r>
        <w:t>C). Se divide en dos filosofías conectadas al hardware de la nave:</w:t>
      </w:r>
    </w:p>
    <w:p w:rsidR="008A1EC1" w:rsidRDefault="006563A3">
      <w:pPr>
        <w:pStyle w:val="Ttulo3"/>
        <w:tabs>
          <w:tab w:val="center" w:pos="4371"/>
        </w:tabs>
        <w:ind w:left="-15" w:firstLine="0"/>
      </w:pPr>
      <w:r>
        <w:t>9.1.1</w:t>
      </w:r>
      <w:r>
        <w:tab/>
        <w:t>Control Pasivo (Recubrimientos Ópticos y Masa)</w:t>
      </w:r>
    </w:p>
    <w:p w:rsidR="008A1EC1" w:rsidRDefault="006563A3">
      <w:pPr>
        <w:spacing w:after="367"/>
        <w:ind w:left="-5" w:right="281"/>
      </w:pPr>
      <w:r>
        <w:t xml:space="preserve">Delegado inherentemente a la construcción del </w:t>
      </w:r>
      <w:r>
        <w:rPr>
          <w:i/>
        </w:rPr>
        <w:t>Chasis (Estructura)</w:t>
      </w:r>
      <w:r>
        <w:t>:</w:t>
      </w:r>
    </w:p>
    <w:p w:rsidR="008A1EC1" w:rsidRDefault="006563A3">
      <w:pPr>
        <w:numPr>
          <w:ilvl w:val="0"/>
          <w:numId w:val="18"/>
        </w:numPr>
        <w:spacing w:after="222"/>
        <w:ind w:right="281" w:hanging="234"/>
      </w:pPr>
      <w:r>
        <w:lastRenderedPageBreak/>
        <w:t xml:space="preserve">Radiadores: </w:t>
      </w:r>
      <w:r>
        <w:t>Zonas de aluminio no adonizado (superf</w:t>
      </w:r>
      <w:r>
        <w:t>icies desnudas o pulidas que se dejan al final del ensamblaje geométrico) por donde se disipa el flujo de calor sobrante de la batería hacia el vacío estelar profundo.</w:t>
      </w:r>
    </w:p>
    <w:p w:rsidR="008A1EC1" w:rsidRDefault="006563A3">
      <w:pPr>
        <w:numPr>
          <w:ilvl w:val="0"/>
          <w:numId w:val="18"/>
        </w:numPr>
        <w:ind w:right="281" w:hanging="234"/>
      </w:pPr>
      <w:r>
        <w:t xml:space="preserve">Aislamiento y Recubrimientos Ópticos: </w:t>
      </w:r>
      <w:r>
        <w:t xml:space="preserve">Empleo de cintas </w:t>
      </w:r>
      <w:proofErr w:type="spellStart"/>
      <w:r>
        <w:t>Kapton</w:t>
      </w:r>
      <w:proofErr w:type="spellEnd"/>
      <w:r>
        <w:t xml:space="preserve"> o aluminizadas para blinda</w:t>
      </w:r>
      <w:r>
        <w:t>r internamente las caras del PCB sensibles al puente frío exterior.</w:t>
      </w:r>
    </w:p>
    <w:p w:rsidR="008A1EC1" w:rsidRDefault="006563A3">
      <w:pPr>
        <w:pStyle w:val="Ttulo3"/>
        <w:tabs>
          <w:tab w:val="center" w:pos="3825"/>
        </w:tabs>
        <w:ind w:left="-15" w:firstLine="0"/>
      </w:pPr>
      <w:r>
        <w:t>9.1.2</w:t>
      </w:r>
      <w:r>
        <w:tab/>
        <w:t>Control Activo (Integración EPS y OBC)</w:t>
      </w:r>
    </w:p>
    <w:p w:rsidR="008A1EC1" w:rsidRDefault="006563A3">
      <w:pPr>
        <w:spacing w:after="381"/>
        <w:ind w:left="-5" w:right="281"/>
      </w:pPr>
      <w:r>
        <w:t>Para proteger permanentemente las celdas de las baterías contra las bajas temperaturas en período de eclipse (que causarían congelamiento del e</w:t>
      </w:r>
      <w:r>
        <w:t>lectrolito y pérdida de capacidad):</w:t>
      </w:r>
    </w:p>
    <w:p w:rsidR="008A1EC1" w:rsidRDefault="006563A3">
      <w:pPr>
        <w:ind w:left="585" w:right="281" w:hanging="234"/>
      </w:pPr>
      <w:r>
        <w:t xml:space="preserve">• </w:t>
      </w:r>
      <w:r>
        <w:t>Calentadores Flexibles (</w:t>
      </w:r>
      <w:proofErr w:type="spellStart"/>
      <w:r>
        <w:t>Heaters</w:t>
      </w:r>
      <w:proofErr w:type="spellEnd"/>
      <w:r>
        <w:t xml:space="preserve">): </w:t>
      </w:r>
      <w:r>
        <w:t>Parches resistivos adheridos directamente al *</w:t>
      </w:r>
      <w:proofErr w:type="spellStart"/>
      <w:r>
        <w:t>Battery</w:t>
      </w:r>
      <w:proofErr w:type="spellEnd"/>
      <w:r>
        <w:t xml:space="preserve"> Module*. Su activación la orquesta el sistema de control EPS mediante la realimentación indirecta del BMS local y los 6 sensores R</w:t>
      </w:r>
      <w:r>
        <w:t>TD de temperatura de la arquitectura central del OBC.</w:t>
      </w:r>
    </w:p>
    <w:p w:rsidR="008A1EC1" w:rsidRDefault="006563A3">
      <w:pPr>
        <w:pStyle w:val="Ttulo2"/>
        <w:tabs>
          <w:tab w:val="center" w:pos="3939"/>
        </w:tabs>
        <w:ind w:left="-15" w:firstLine="0"/>
      </w:pPr>
      <w:r>
        <w:t>9.2</w:t>
      </w:r>
      <w:r>
        <w:tab/>
        <w:t>Campaña de Pruebas Térmicas (AIT)</w:t>
      </w:r>
    </w:p>
    <w:p w:rsidR="008A1EC1" w:rsidRDefault="006563A3">
      <w:pPr>
        <w:ind w:left="-5" w:right="281"/>
      </w:pPr>
      <w:r>
        <w:t xml:space="preserve">El comportamiento se simula en programas </w:t>
      </w:r>
      <w:proofErr w:type="gramStart"/>
      <w:r>
        <w:t>CAD</w:t>
      </w:r>
      <w:proofErr w:type="gramEnd"/>
      <w:r>
        <w:t xml:space="preserve"> pero se rectifica únicamente de manera empírica.</w:t>
      </w:r>
    </w:p>
    <w:p w:rsidR="008A1EC1" w:rsidRDefault="006563A3">
      <w:pPr>
        <w:pStyle w:val="Ttulo3"/>
        <w:tabs>
          <w:tab w:val="center" w:pos="3398"/>
        </w:tabs>
        <w:ind w:left="-15" w:firstLine="0"/>
      </w:pPr>
      <w:r>
        <w:t>9.2.1</w:t>
      </w:r>
      <w:r>
        <w:tab/>
        <w:t>Ciclos Térmicos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Cycling</w:t>
      </w:r>
      <w:proofErr w:type="spellEnd"/>
      <w:r>
        <w:t>)</w:t>
      </w:r>
    </w:p>
    <w:p w:rsidR="008A1EC1" w:rsidRDefault="006563A3">
      <w:pPr>
        <w:ind w:left="-5" w:right="281"/>
      </w:pPr>
      <w:r>
        <w:t xml:space="preserve">Se somete al satélite acoplado a pruebas dinámicas en cámara, ciclando la temperatura (por ejemplo, entre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15 </w:t>
      </w:r>
      <w:r>
        <w:rPr>
          <w:rFonts w:ascii="Cambria" w:eastAsia="Cambria" w:hAnsi="Cambria" w:cs="Cambria"/>
          <w:vertAlign w:val="superscript"/>
        </w:rPr>
        <w:t>◦</w:t>
      </w:r>
      <w:r>
        <w:t xml:space="preserve">C y </w:t>
      </w:r>
      <w:r>
        <w:rPr>
          <w:rFonts w:ascii="Cambria" w:eastAsia="Cambria" w:hAnsi="Cambria" w:cs="Cambria"/>
        </w:rPr>
        <w:t xml:space="preserve">+60 </w:t>
      </w:r>
      <w:r>
        <w:rPr>
          <w:rFonts w:ascii="Cambria" w:eastAsia="Cambria" w:hAnsi="Cambria" w:cs="Cambria"/>
          <w:vertAlign w:val="superscript"/>
        </w:rPr>
        <w:t>◦</w:t>
      </w:r>
      <w:r>
        <w:t xml:space="preserve">C) reiteradas veces (ej. 10 ciclos). El OBC debe continuar transmitiendo a través de la interfaz umbilical para detectar </w:t>
      </w:r>
      <w:proofErr w:type="spellStart"/>
      <w:r>
        <w:t>termofatiga</w:t>
      </w:r>
      <w:proofErr w:type="spellEnd"/>
      <w:r>
        <w:t xml:space="preserve"> en </w:t>
      </w:r>
      <w:r>
        <w:t>soldaduras perimetrales críticas.</w:t>
      </w:r>
    </w:p>
    <w:p w:rsidR="008A1EC1" w:rsidRDefault="006563A3">
      <w:pPr>
        <w:pStyle w:val="Ttulo3"/>
        <w:tabs>
          <w:tab w:val="center" w:pos="3933"/>
        </w:tabs>
        <w:ind w:left="-15" w:firstLine="0"/>
      </w:pPr>
      <w:r>
        <w:t>9.2.2</w:t>
      </w:r>
      <w:r>
        <w:tab/>
        <w:t>Prueba de Vacío Térmico (</w:t>
      </w:r>
      <w:proofErr w:type="spellStart"/>
      <w:r>
        <w:t>Bake-Out</w:t>
      </w:r>
      <w:proofErr w:type="spellEnd"/>
      <w:r>
        <w:t xml:space="preserve"> LEO)</w:t>
      </w:r>
    </w:p>
    <w:p w:rsidR="008A1EC1" w:rsidRDefault="006563A3">
      <w:pPr>
        <w:ind w:left="-5" w:right="281"/>
      </w:pPr>
      <w:r>
        <w:t xml:space="preserve">En sincronía con la agencia inyectora, el hardware es horneado al alto vacío extremo durante semanas a </w:t>
      </w:r>
      <w:r>
        <w:rPr>
          <w:rFonts w:ascii="Cambria" w:eastAsia="Cambria" w:hAnsi="Cambria" w:cs="Cambria"/>
        </w:rPr>
        <w:t xml:space="preserve">+60 </w:t>
      </w:r>
      <w:r>
        <w:rPr>
          <w:rFonts w:ascii="Cambria" w:eastAsia="Cambria" w:hAnsi="Cambria" w:cs="Cambria"/>
          <w:vertAlign w:val="superscript"/>
        </w:rPr>
        <w:t>◦</w:t>
      </w:r>
      <w:r>
        <w:t>C promoviendo la máxima desgasificación (</w:t>
      </w:r>
      <w:proofErr w:type="spellStart"/>
      <w:r>
        <w:rPr>
          <w:i/>
        </w:rPr>
        <w:t>outgassing</w:t>
      </w:r>
      <w:proofErr w:type="spellEnd"/>
      <w:r>
        <w:t>). Esta depuración</w:t>
      </w:r>
      <w:r>
        <w:t xml:space="preserve"> es obligatoria para certificar que el satélite prevenga la contaminación de la óptica de los *</w:t>
      </w:r>
      <w:proofErr w:type="spellStart"/>
      <w:r>
        <w:t>Payloads</w:t>
      </w:r>
      <w:proofErr w:type="spellEnd"/>
      <w:r>
        <w:t xml:space="preserve"> microscópicos* e instrumentos vecinos en el cohete.</w:t>
      </w:r>
      <w:r>
        <w:br w:type="page"/>
      </w: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10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Segmento Tierra</w:t>
      </w:r>
    </w:p>
    <w:p w:rsidR="008A1EC1" w:rsidRDefault="006563A3">
      <w:pPr>
        <w:pStyle w:val="Ttulo2"/>
        <w:tabs>
          <w:tab w:val="center" w:pos="4092"/>
        </w:tabs>
        <w:ind w:left="-15" w:firstLine="0"/>
      </w:pPr>
      <w:r>
        <w:t>10.1</w:t>
      </w:r>
      <w:r>
        <w:tab/>
        <w:t>Misión Operacional en Tierra INRAS</w:t>
      </w:r>
    </w:p>
    <w:p w:rsidR="008A1EC1" w:rsidRDefault="006563A3">
      <w:pPr>
        <w:spacing w:after="706"/>
        <w:ind w:left="-5" w:right="281"/>
      </w:pPr>
      <w:r>
        <w:t xml:space="preserve">El segmento terreno es la infraestructura fundamental para las fases </w:t>
      </w:r>
      <w:proofErr w:type="spellStart"/>
      <w:r>
        <w:t>pre-vuelo</w:t>
      </w:r>
      <w:proofErr w:type="spellEnd"/>
      <w:r>
        <w:t xml:space="preserve"> (AIT y </w:t>
      </w:r>
      <w:proofErr w:type="spellStart"/>
      <w:r>
        <w:t>FlatSat</w:t>
      </w:r>
      <w:proofErr w:type="spellEnd"/>
      <w:r>
        <w:t>) y operativo-en-vuelo. Dirige la coordinación del flujo desde las Estaciones Terrenas distribuidas hacia el Centro de Control de la Misión.</w:t>
      </w:r>
    </w:p>
    <w:p w:rsidR="008A1EC1" w:rsidRDefault="006563A3">
      <w:pPr>
        <w:pStyle w:val="Ttulo2"/>
        <w:ind w:left="1017" w:hanging="1032"/>
      </w:pPr>
      <w:r>
        <w:t>10.2</w:t>
      </w:r>
      <w:r>
        <w:tab/>
        <w:t>Arquitectura de l</w:t>
      </w:r>
      <w:r>
        <w:t>a Estación Terrena, Control y Monitoreo</w:t>
      </w:r>
    </w:p>
    <w:p w:rsidR="008A1EC1" w:rsidRDefault="006563A3">
      <w:pPr>
        <w:spacing w:after="387"/>
        <w:ind w:left="-5" w:right="281"/>
      </w:pPr>
      <w:r>
        <w:t>Acorde a arquitecturas COTS, el circuito de rastreo RF es el espejo terrestre de nuestro módulo transmisor (TTC) espacial:</w:t>
      </w:r>
    </w:p>
    <w:p w:rsidR="008A1EC1" w:rsidRDefault="006563A3">
      <w:pPr>
        <w:numPr>
          <w:ilvl w:val="0"/>
          <w:numId w:val="19"/>
        </w:numPr>
        <w:spacing w:after="230"/>
        <w:ind w:right="281" w:hanging="234"/>
      </w:pPr>
      <w:r>
        <w:t xml:space="preserve">Capa Analógica y Seguimiento Inercial: </w:t>
      </w:r>
      <w:r>
        <w:t xml:space="preserve">Para maximizar al milisegundo el </w:t>
      </w:r>
      <w:proofErr w:type="spellStart"/>
      <w:r>
        <w:t>handshake</w:t>
      </w:r>
      <w:proofErr w:type="spellEnd"/>
      <w:r>
        <w:t xml:space="preserve"> en órbitas </w:t>
      </w:r>
      <w:r>
        <w:t xml:space="preserve">(SSO o polares), la base empela conjuntos </w:t>
      </w:r>
      <w:proofErr w:type="spellStart"/>
      <w:r>
        <w:rPr>
          <w:i/>
        </w:rPr>
        <w:t>Quad-Yagi</w:t>
      </w:r>
      <w:proofErr w:type="spellEnd"/>
      <w:r>
        <w:rPr>
          <w:i/>
        </w:rPr>
        <w:t xml:space="preserve"> </w:t>
      </w:r>
      <w:r>
        <w:t xml:space="preserve">cruzados. Gobernados por </w:t>
      </w:r>
      <w:r>
        <w:rPr>
          <w:i/>
        </w:rPr>
        <w:t xml:space="preserve">Rotadores automatizados Azimut-Elevación </w:t>
      </w:r>
      <w:r>
        <w:t xml:space="preserve">que siguen vectorialmente </w:t>
      </w:r>
      <w:proofErr w:type="gramStart"/>
      <w:r>
        <w:t>los efemérides</w:t>
      </w:r>
      <w:proofErr w:type="gramEnd"/>
      <w:r>
        <w:t xml:space="preserve"> (archivos de predicción TLE) actualizados por NORAD/</w:t>
      </w:r>
      <w:proofErr w:type="spellStart"/>
      <w:r>
        <w:t>Celestrak</w:t>
      </w:r>
      <w:proofErr w:type="spellEnd"/>
      <w:r>
        <w:t>.</w:t>
      </w:r>
    </w:p>
    <w:p w:rsidR="008A1EC1" w:rsidRDefault="006563A3">
      <w:pPr>
        <w:numPr>
          <w:ilvl w:val="0"/>
          <w:numId w:val="19"/>
        </w:numPr>
        <w:spacing w:after="208"/>
        <w:ind w:right="281" w:hanging="234"/>
      </w:pPr>
      <w:r>
        <w:t>Capa Base de Amplificadores (LNA &amp;</w:t>
      </w:r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Amp</w:t>
      </w:r>
      <w:proofErr w:type="spellEnd"/>
      <w:r>
        <w:t xml:space="preserve">): </w:t>
      </w:r>
      <w:r>
        <w:t xml:space="preserve">Alojado muy cerca del rotor para mitigar pérdidas coaxiales de ruido (NF). Amplifica la huella de UHF </w:t>
      </w:r>
      <w:proofErr w:type="spellStart"/>
      <w:r>
        <w:t>ultradébil</w:t>
      </w:r>
      <w:proofErr w:type="spellEnd"/>
      <w:r>
        <w:t xml:space="preserve"> del espacio, mientras que la etapa de potencia envía entre </w:t>
      </w:r>
      <w:r>
        <w:rPr>
          <w:rFonts w:ascii="Cambria" w:eastAsia="Cambria" w:hAnsi="Cambria" w:cs="Cambria"/>
        </w:rPr>
        <w:t>50</w:t>
      </w:r>
      <w:r>
        <w:t xml:space="preserve">W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100</w:t>
      </w:r>
      <w:r>
        <w:t xml:space="preserve">W cruzando la alta atmósfera hacia el </w:t>
      </w:r>
      <w:proofErr w:type="spellStart"/>
      <w:r>
        <w:t>CubeSat</w:t>
      </w:r>
      <w:proofErr w:type="spellEnd"/>
      <w:r>
        <w:t>.</w:t>
      </w:r>
    </w:p>
    <w:p w:rsidR="008A1EC1" w:rsidRDefault="006563A3">
      <w:pPr>
        <w:numPr>
          <w:ilvl w:val="0"/>
          <w:numId w:val="19"/>
        </w:numPr>
        <w:ind w:right="281" w:hanging="234"/>
      </w:pPr>
      <w:r>
        <w:t>Capa Digital y S</w:t>
      </w:r>
      <w:r>
        <w:t xml:space="preserve">DR: </w:t>
      </w:r>
      <w:r>
        <w:t>Uso profundo de radios definidas por software (SDR). Realizan ininterrumpidamente demodulación digital en bandas base compensando el estiramiento extremo de frecuencia causado por el efecto Doppler físico.</w:t>
      </w:r>
    </w:p>
    <w:p w:rsidR="008A1EC1" w:rsidRDefault="006563A3">
      <w:pPr>
        <w:pStyle w:val="Ttulo2"/>
        <w:tabs>
          <w:tab w:val="center" w:pos="4388"/>
        </w:tabs>
        <w:ind w:left="-15" w:firstLine="0"/>
      </w:pPr>
      <w:r>
        <w:t>10.3</w:t>
      </w:r>
      <w:r>
        <w:tab/>
        <w:t>Ciclo Operacional Terrestre Lógico (</w:t>
      </w:r>
      <w:proofErr w:type="spellStart"/>
      <w:r>
        <w:t>Ops</w:t>
      </w:r>
      <w:proofErr w:type="spellEnd"/>
      <w:r>
        <w:t>)</w:t>
      </w:r>
    </w:p>
    <w:p w:rsidR="008A1EC1" w:rsidRDefault="006563A3">
      <w:pPr>
        <w:spacing w:after="43"/>
        <w:ind w:left="-5" w:right="281"/>
      </w:pPr>
      <w:r>
        <w:t>Las tareas consolidadas de Operación interactúan directamente respondiendo a los</w:t>
      </w:r>
    </w:p>
    <w:p w:rsidR="008A1EC1" w:rsidRDefault="006563A3">
      <w:pPr>
        <w:spacing w:after="393" w:line="259" w:lineRule="auto"/>
        <w:ind w:left="0" w:firstLine="0"/>
        <w:jc w:val="left"/>
      </w:pPr>
      <w:r>
        <w:t>Modos del OBC</w:t>
      </w:r>
      <w:r>
        <w:t>:</w:t>
      </w:r>
    </w:p>
    <w:p w:rsidR="008A1EC1" w:rsidRDefault="006563A3">
      <w:pPr>
        <w:numPr>
          <w:ilvl w:val="0"/>
          <w:numId w:val="20"/>
        </w:numPr>
        <w:spacing w:after="213"/>
        <w:ind w:right="281" w:hanging="234"/>
      </w:pPr>
      <w:r>
        <w:t xml:space="preserve">Rastreo Rutinario: </w:t>
      </w:r>
      <w:r>
        <w:t xml:space="preserve">Decodificación pasiva en cascada del </w:t>
      </w:r>
      <w:proofErr w:type="spellStart"/>
      <w:r>
        <w:rPr>
          <w:i/>
        </w:rPr>
        <w:t>Housekeeping</w:t>
      </w:r>
      <w:proofErr w:type="spellEnd"/>
      <w:r>
        <w:rPr>
          <w:i/>
        </w:rPr>
        <w:t xml:space="preserve"> </w:t>
      </w:r>
      <w:r>
        <w:t>(vital para el monitoreo pasivo diario).</w:t>
      </w:r>
    </w:p>
    <w:p w:rsidR="008A1EC1" w:rsidRDefault="006563A3">
      <w:pPr>
        <w:numPr>
          <w:ilvl w:val="0"/>
          <w:numId w:val="20"/>
        </w:numPr>
        <w:spacing w:after="257"/>
        <w:ind w:right="281" w:hanging="234"/>
      </w:pPr>
      <w:r>
        <w:lastRenderedPageBreak/>
        <w:t xml:space="preserve">Manejo de </w:t>
      </w:r>
      <w:proofErr w:type="spellStart"/>
      <w:r>
        <w:t>Payloads</w:t>
      </w:r>
      <w:proofErr w:type="spellEnd"/>
      <w:r>
        <w:t xml:space="preserve"> Científicos: </w:t>
      </w:r>
      <w:r>
        <w:t>Envíos específicos</w:t>
      </w:r>
      <w:r>
        <w:t xml:space="preserve"> programados de ventanas lógicas sobre el territorio ordenando a la computadora embarcada abrir y enviar el </w:t>
      </w:r>
      <w:r>
        <w:rPr>
          <w:i/>
        </w:rPr>
        <w:t xml:space="preserve">buffer redundado </w:t>
      </w:r>
      <w:r>
        <w:t xml:space="preserve">microscópico al </w:t>
      </w:r>
      <w:proofErr w:type="spellStart"/>
      <w:r>
        <w:rPr>
          <w:i/>
        </w:rPr>
        <w:t>Downlink</w:t>
      </w:r>
      <w:proofErr w:type="spellEnd"/>
      <w:r>
        <w:rPr>
          <w:i/>
        </w:rPr>
        <w:t xml:space="preserve"> CCSDS</w:t>
      </w:r>
      <w:r>
        <w:t>.</w:t>
      </w:r>
    </w:p>
    <w:p w:rsidR="008A1EC1" w:rsidRDefault="006563A3">
      <w:pPr>
        <w:numPr>
          <w:ilvl w:val="0"/>
          <w:numId w:val="20"/>
        </w:numPr>
        <w:spacing w:after="1"/>
        <w:ind w:right="281" w:hanging="234"/>
      </w:pPr>
      <w:r>
        <w:t xml:space="preserve">Resolución de Contingencias de Vuelo (HMAC/Seguridad): </w:t>
      </w:r>
      <w:r>
        <w:t>En caso de ser notificados mediante el flujo</w:t>
      </w:r>
      <w:r>
        <w:t xml:space="preserve"> Beacon del ingreso automático del satélite en el </w:t>
      </w:r>
      <w:r>
        <w:rPr>
          <w:i/>
        </w:rPr>
        <w:t>Modo de Seguridad/</w:t>
      </w:r>
      <w:proofErr w:type="spellStart"/>
      <w:r>
        <w:rPr>
          <w:i/>
        </w:rPr>
        <w:t>Safe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</w:t>
      </w:r>
      <w:proofErr w:type="spellEnd"/>
      <w:r>
        <w:t xml:space="preserve">. La línea de mando transmite criptogramas asimétricos cifrados (Hashes de seguridad SHA/HMAC), los cuales reactivan manual y forzadamente los microcontroladores (OTA </w:t>
      </w:r>
      <w:proofErr w:type="spellStart"/>
      <w:r>
        <w:t>reset</w:t>
      </w:r>
      <w:proofErr w:type="spellEnd"/>
      <w:r>
        <w:t>) sacan</w:t>
      </w:r>
      <w:r>
        <w:t xml:space="preserve">do del </w:t>
      </w:r>
      <w:r>
        <w:rPr>
          <w:i/>
        </w:rPr>
        <w:t xml:space="preserve">Interbloqueo </w:t>
      </w:r>
      <w:r>
        <w:t>al sistema periférico ADCS para salvar la misión.</w:t>
      </w:r>
      <w:r>
        <w:br w:type="page"/>
      </w: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11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Integración, Verificación y Validación (AIT)</w:t>
      </w:r>
    </w:p>
    <w:p w:rsidR="008A1EC1" w:rsidRDefault="006563A3">
      <w:pPr>
        <w:pStyle w:val="Ttulo2"/>
        <w:tabs>
          <w:tab w:val="center" w:pos="4137"/>
        </w:tabs>
        <w:spacing w:after="312"/>
        <w:ind w:left="-15" w:firstLine="0"/>
      </w:pPr>
      <w:r>
        <w:t>11.1</w:t>
      </w:r>
      <w:r>
        <w:tab/>
        <w:t>Definición Global de la Campaña AIT</w:t>
      </w:r>
    </w:p>
    <w:p w:rsidR="008A1EC1" w:rsidRDefault="006563A3">
      <w:pPr>
        <w:spacing w:after="705"/>
        <w:ind w:left="-5" w:right="281"/>
      </w:pPr>
      <w:r>
        <w:t xml:space="preserve">La campaña de Ensamblaje, Integración y Pruebas (AIT - </w:t>
      </w:r>
      <w:proofErr w:type="spellStart"/>
      <w:r>
        <w:rPr>
          <w:i/>
        </w:rPr>
        <w:t>Assembly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Integration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Testing</w:t>
      </w:r>
      <w:proofErr w:type="spellEnd"/>
      <w:r>
        <w:t xml:space="preserve">) determina la batería de requisitos obligatorios experimentales y sistemáticos necesarios antes del dictamen de vuelo (Modelo de Vuelo - Flight </w:t>
      </w:r>
      <w:proofErr w:type="spellStart"/>
      <w:r>
        <w:t>Model</w:t>
      </w:r>
      <w:proofErr w:type="spellEnd"/>
      <w:r>
        <w:t>). Se establece que el equipo en este formato no padecerá alteraciones de diseño (congelamiento de hardwar</w:t>
      </w:r>
      <w:r>
        <w:t>e/firmware) posteriormente a estas pruebas críticas para preservar la garantía e integridad.</w:t>
      </w:r>
    </w:p>
    <w:p w:rsidR="008A1EC1" w:rsidRDefault="006563A3">
      <w:pPr>
        <w:pStyle w:val="Ttulo2"/>
        <w:tabs>
          <w:tab w:val="center" w:pos="4171"/>
        </w:tabs>
        <w:ind w:left="-15" w:firstLine="0"/>
      </w:pPr>
      <w:r>
        <w:t>11.2</w:t>
      </w:r>
      <w:r>
        <w:tab/>
        <w:t xml:space="preserve">Instrucciones de Ensamblaje y </w:t>
      </w:r>
      <w:proofErr w:type="spellStart"/>
      <w:r>
        <w:t>FlatSat</w:t>
      </w:r>
      <w:proofErr w:type="spellEnd"/>
    </w:p>
    <w:p w:rsidR="008A1EC1" w:rsidRDefault="006563A3">
      <w:pPr>
        <w:ind w:left="-5" w:right="281"/>
      </w:pPr>
      <w:r>
        <w:t>Antes de la integración física final, se realizarán pruebas clave a nivel de sistema expandido.</w:t>
      </w:r>
    </w:p>
    <w:p w:rsidR="008A1EC1" w:rsidRDefault="006563A3">
      <w:pPr>
        <w:tabs>
          <w:tab w:val="center" w:pos="3182"/>
        </w:tabs>
        <w:spacing w:after="349" w:line="259" w:lineRule="auto"/>
        <w:ind w:left="-15" w:firstLine="0"/>
        <w:jc w:val="left"/>
      </w:pPr>
      <w:r>
        <w:rPr>
          <w:sz w:val="29"/>
        </w:rPr>
        <w:t>11.2.1</w:t>
      </w:r>
      <w:r>
        <w:rPr>
          <w:sz w:val="29"/>
        </w:rPr>
        <w:tab/>
      </w:r>
      <w:proofErr w:type="spellStart"/>
      <w:r>
        <w:rPr>
          <w:sz w:val="29"/>
        </w:rPr>
        <w:t>FlatSat</w:t>
      </w:r>
      <w:proofErr w:type="spellEnd"/>
      <w:r>
        <w:rPr>
          <w:sz w:val="29"/>
        </w:rPr>
        <w:t xml:space="preserve"> (Pruebas sobre mesa)</w:t>
      </w:r>
    </w:p>
    <w:p w:rsidR="008A1EC1" w:rsidRDefault="006563A3">
      <w:pPr>
        <w:tabs>
          <w:tab w:val="center" w:pos="3866"/>
        </w:tabs>
        <w:spacing w:after="436" w:line="259" w:lineRule="auto"/>
        <w:ind w:left="-15" w:firstLine="0"/>
        <w:jc w:val="left"/>
      </w:pPr>
      <w:r>
        <w:rPr>
          <w:sz w:val="29"/>
        </w:rPr>
        <w:t>11.2.2</w:t>
      </w:r>
      <w:r>
        <w:rPr>
          <w:sz w:val="29"/>
        </w:rPr>
        <w:tab/>
        <w:t>Procedimiento de Integración Mecánica</w:t>
      </w:r>
    </w:p>
    <w:p w:rsidR="008A1EC1" w:rsidRDefault="006563A3">
      <w:pPr>
        <w:pStyle w:val="Ttulo2"/>
        <w:tabs>
          <w:tab w:val="center" w:pos="4786"/>
        </w:tabs>
        <w:ind w:left="-15" w:firstLine="0"/>
      </w:pPr>
      <w:r>
        <w:t>11.3</w:t>
      </w:r>
      <w:r>
        <w:tab/>
        <w:t>Plan de pruebas físicas y validación ambiental</w:t>
      </w:r>
    </w:p>
    <w:p w:rsidR="008A1EC1" w:rsidRDefault="006563A3">
      <w:pPr>
        <w:ind w:left="-5" w:right="281"/>
      </w:pPr>
      <w:r>
        <w:t xml:space="preserve">Las pruebas buscan calificar las propiedades tanto físicas como funcionales, asegurando a cabalidad la supervivencia frente a los </w:t>
      </w:r>
      <w:r>
        <w:t>entornos acústicos de un cohete estándar. Incluye controles mandatorios como:</w:t>
      </w:r>
    </w:p>
    <w:p w:rsidR="008A1EC1" w:rsidRDefault="006563A3">
      <w:pPr>
        <w:pStyle w:val="Ttulo3"/>
        <w:tabs>
          <w:tab w:val="center" w:pos="2898"/>
        </w:tabs>
        <w:spacing w:after="281"/>
        <w:ind w:left="-15" w:firstLine="0"/>
      </w:pPr>
      <w:r>
        <w:t>11.3.1</w:t>
      </w:r>
      <w:r>
        <w:tab/>
        <w:t>Pruebas Físico-Mecánicas</w:t>
      </w:r>
    </w:p>
    <w:p w:rsidR="008A1EC1" w:rsidRDefault="006563A3">
      <w:pPr>
        <w:numPr>
          <w:ilvl w:val="0"/>
          <w:numId w:val="21"/>
        </w:numPr>
        <w:spacing w:after="209"/>
        <w:ind w:right="281" w:hanging="234"/>
      </w:pPr>
      <w:r>
        <w:t>Verificación de Interfaz Física (</w:t>
      </w:r>
      <w:proofErr w:type="spellStart"/>
      <w:r>
        <w:t>Fit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): </w:t>
      </w:r>
      <w:r>
        <w:t>Control estricto de la envolvente externa dimensional, perpendicularidad y compatibilidad limpiando atascos dentro del P-POD inyector satelital.</w:t>
      </w:r>
    </w:p>
    <w:p w:rsidR="008A1EC1" w:rsidRDefault="006563A3">
      <w:pPr>
        <w:numPr>
          <w:ilvl w:val="0"/>
          <w:numId w:val="21"/>
        </w:numPr>
        <w:spacing w:after="236"/>
        <w:ind w:right="281" w:hanging="234"/>
      </w:pPr>
      <w:r>
        <w:t xml:space="preserve">Masa y Centro de Gravedad (CG): </w:t>
      </w:r>
      <w:r>
        <w:t xml:space="preserve">Verificación del peso máximo por estándar </w:t>
      </w:r>
      <w:proofErr w:type="spellStart"/>
      <w:r>
        <w:t>CubeSat</w:t>
      </w:r>
      <w:proofErr w:type="spellEnd"/>
      <w:r>
        <w:t xml:space="preserve"> y la ubicación tolerada del C</w:t>
      </w:r>
      <w:r>
        <w:t>G respecto a su eje geométrico.</w:t>
      </w:r>
    </w:p>
    <w:p w:rsidR="008A1EC1" w:rsidRDefault="006563A3">
      <w:pPr>
        <w:numPr>
          <w:ilvl w:val="0"/>
          <w:numId w:val="21"/>
        </w:numPr>
        <w:ind w:right="281" w:hanging="234"/>
      </w:pPr>
      <w:r>
        <w:lastRenderedPageBreak/>
        <w:t>Pruebas de Esfuerzo Dinámico (</w:t>
      </w:r>
      <w:proofErr w:type="spellStart"/>
      <w:r>
        <w:t>Vibration</w:t>
      </w:r>
      <w:proofErr w:type="spellEnd"/>
      <w:r>
        <w:t xml:space="preserve"> &amp; Shock </w:t>
      </w:r>
      <w:proofErr w:type="spellStart"/>
      <w:r>
        <w:t>Tests</w:t>
      </w:r>
      <w:proofErr w:type="spellEnd"/>
      <w:r>
        <w:t xml:space="preserve">): </w:t>
      </w:r>
      <w:r>
        <w:t>Calificación dinámica (</w:t>
      </w:r>
      <w:proofErr w:type="spellStart"/>
      <w:r>
        <w:t>Random</w:t>
      </w:r>
      <w:proofErr w:type="spellEnd"/>
      <w:r>
        <w:t xml:space="preserve"> y Sinusoidal) sobre mesas vibratorias simulando el perfil acústico </w:t>
      </w:r>
      <w:proofErr w:type="spellStart"/>
      <w:r>
        <w:t>inter-etapas</w:t>
      </w:r>
      <w:proofErr w:type="spellEnd"/>
      <w:r>
        <w:t xml:space="preserve"> del cohete en los 3 ejes (X, Y, Z).</w:t>
      </w:r>
    </w:p>
    <w:p w:rsidR="008A1EC1" w:rsidRDefault="006563A3">
      <w:pPr>
        <w:pStyle w:val="Ttulo3"/>
        <w:tabs>
          <w:tab w:val="center" w:pos="3789"/>
        </w:tabs>
        <w:spacing w:after="274"/>
        <w:ind w:left="-15" w:firstLine="0"/>
      </w:pPr>
      <w:r>
        <w:t>11.3.2</w:t>
      </w:r>
      <w:r>
        <w:tab/>
        <w:t>Pruebas de Ambi</w:t>
      </w:r>
      <w:r>
        <w:t>ente Espacial y EMC</w:t>
      </w:r>
    </w:p>
    <w:p w:rsidR="008A1EC1" w:rsidRDefault="006563A3">
      <w:pPr>
        <w:numPr>
          <w:ilvl w:val="0"/>
          <w:numId w:val="22"/>
        </w:numPr>
        <w:spacing w:after="234"/>
        <w:ind w:right="281" w:hanging="234"/>
      </w:pPr>
      <w:r>
        <w:t>Ciclos Térmicos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Cycling</w:t>
      </w:r>
      <w:proofErr w:type="spellEnd"/>
      <w:r>
        <w:t xml:space="preserve">): </w:t>
      </w:r>
      <w:r>
        <w:t>Sometimiento repetido a transiciones abruptas térmicas (</w:t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>T</w:t>
      </w:r>
      <w:r>
        <w:t>) representativas de los eclipses e iluminación para detectar fatiga de soldadura.</w:t>
      </w:r>
    </w:p>
    <w:p w:rsidR="008A1EC1" w:rsidRDefault="006563A3">
      <w:pPr>
        <w:numPr>
          <w:ilvl w:val="0"/>
          <w:numId w:val="22"/>
        </w:numPr>
        <w:spacing w:after="246"/>
        <w:ind w:right="281" w:hanging="234"/>
      </w:pPr>
      <w:r>
        <w:t xml:space="preserve">Prueba en Cámara Termo-Vacío (TVAC &amp; </w:t>
      </w:r>
      <w:proofErr w:type="spellStart"/>
      <w:r>
        <w:t>Bake-Out</w:t>
      </w:r>
      <w:proofErr w:type="spellEnd"/>
      <w:r>
        <w:t xml:space="preserve">): </w:t>
      </w:r>
      <w:r>
        <w:t>Evaluación térmica profunda LEO simulando alto vacío, desgasificación (</w:t>
      </w:r>
      <w:proofErr w:type="spellStart"/>
      <w:r>
        <w:t>outgassing</w:t>
      </w:r>
      <w:proofErr w:type="spellEnd"/>
      <w:r>
        <w:t xml:space="preserve">) y verificación térmica a </w:t>
      </w:r>
      <w:r>
        <w:rPr>
          <w:rFonts w:ascii="Cambria" w:eastAsia="Cambria" w:hAnsi="Cambria" w:cs="Cambria"/>
        </w:rPr>
        <w:t>+60</w:t>
      </w:r>
      <w:r>
        <w:rPr>
          <w:rFonts w:ascii="Cambria" w:eastAsia="Cambria" w:hAnsi="Cambria" w:cs="Cambria"/>
          <w:vertAlign w:val="superscript"/>
        </w:rPr>
        <w:t>◦</w:t>
      </w:r>
      <w:r>
        <w:t>C durante ciclos alargados.</w:t>
      </w:r>
    </w:p>
    <w:p w:rsidR="008A1EC1" w:rsidRDefault="006563A3">
      <w:pPr>
        <w:numPr>
          <w:ilvl w:val="0"/>
          <w:numId w:val="22"/>
        </w:numPr>
        <w:ind w:right="281" w:hanging="234"/>
      </w:pPr>
      <w:r>
        <w:t xml:space="preserve">Compatibilidad Electromagnética (EMC): </w:t>
      </w:r>
      <w:r>
        <w:t xml:space="preserve">Evaluación de intermodulación y ruido de hardware entre etapas para prevenir </w:t>
      </w:r>
      <w:proofErr w:type="spellStart"/>
      <w:r>
        <w:t>autointerferencias</w:t>
      </w:r>
      <w:proofErr w:type="spellEnd"/>
      <w:r>
        <w:t xml:space="preserve"> en el receptor UHF/VHF.</w:t>
      </w:r>
      <w:r>
        <w:br w:type="page"/>
      </w:r>
    </w:p>
    <w:p w:rsidR="008A1EC1" w:rsidRDefault="006563A3">
      <w:pPr>
        <w:pStyle w:val="Ttulo1"/>
        <w:ind w:right="296"/>
      </w:pPr>
      <w:proofErr w:type="spellStart"/>
      <w:r>
        <w:lastRenderedPageBreak/>
        <w:t>Chapter</w:t>
      </w:r>
      <w:proofErr w:type="spellEnd"/>
      <w:r>
        <w:t xml:space="preserve"> 12</w:t>
      </w:r>
    </w:p>
    <w:p w:rsidR="008A1EC1" w:rsidRDefault="006563A3">
      <w:pPr>
        <w:spacing w:after="980" w:line="265" w:lineRule="auto"/>
        <w:ind w:left="-5"/>
        <w:jc w:val="left"/>
      </w:pPr>
      <w:r>
        <w:rPr>
          <w:color w:val="002855"/>
          <w:sz w:val="34"/>
        </w:rPr>
        <w:t>Gestión de la Misión y del Proyecto</w:t>
      </w:r>
    </w:p>
    <w:p w:rsidR="008A1EC1" w:rsidRDefault="006563A3">
      <w:pPr>
        <w:pStyle w:val="Ttulo2"/>
        <w:tabs>
          <w:tab w:val="center" w:pos="4178"/>
        </w:tabs>
        <w:ind w:left="-15" w:firstLine="0"/>
      </w:pPr>
      <w:r>
        <w:t>12.1</w:t>
      </w:r>
      <w:r>
        <w:tab/>
        <w:t>Manejo Sistémico e Hitos (</w:t>
      </w:r>
      <w:proofErr w:type="spellStart"/>
      <w:r>
        <w:t>Milestones</w:t>
      </w:r>
      <w:proofErr w:type="spellEnd"/>
      <w:r>
        <w:t>)</w:t>
      </w:r>
    </w:p>
    <w:p w:rsidR="008A1EC1" w:rsidRDefault="006563A3">
      <w:pPr>
        <w:spacing w:after="706"/>
        <w:ind w:left="-5" w:right="281"/>
      </w:pPr>
      <w:r>
        <w:t xml:space="preserve">El diseño y lanzamiento de una plataforma en formato </w:t>
      </w:r>
      <w:proofErr w:type="spellStart"/>
      <w:r>
        <w:t>CubeSat</w:t>
      </w:r>
      <w:proofErr w:type="spellEnd"/>
      <w:r>
        <w:t xml:space="preserve"> 2U como INTISAT se articula formalmente bajo los ciclos de de</w:t>
      </w:r>
      <w:r>
        <w:t>sarrollo internacional V-</w:t>
      </w:r>
      <w:proofErr w:type="spellStart"/>
      <w:r>
        <w:t>Model</w:t>
      </w:r>
      <w:proofErr w:type="spellEnd"/>
      <w:r>
        <w:t xml:space="preserve"> de ingeniería de sistemas espaciales impulsados por INRAS/PUCP. La trayectoria traza un puente estricto desde SRR (</w:t>
      </w:r>
      <w:proofErr w:type="spellStart"/>
      <w:r>
        <w:t>Requimientos</w:t>
      </w:r>
      <w:proofErr w:type="spellEnd"/>
      <w:r>
        <w:t xml:space="preserve"> de Sistema), superando la presente CDR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 del modelo de ingeniería y finali</w:t>
      </w:r>
      <w:r>
        <w:t xml:space="preserve">zando la madurez de hardware comercial COTS en la AIT de su inminente Vuelo Final (Flight </w:t>
      </w:r>
      <w:proofErr w:type="spellStart"/>
      <w:r>
        <w:t>Model</w:t>
      </w:r>
      <w:proofErr w:type="spellEnd"/>
      <w:r>
        <w:t>).</w:t>
      </w:r>
    </w:p>
    <w:p w:rsidR="008A1EC1" w:rsidRDefault="006563A3">
      <w:pPr>
        <w:pStyle w:val="Ttulo2"/>
        <w:spacing w:after="349"/>
        <w:ind w:left="-5"/>
      </w:pPr>
      <w:r>
        <w:t>12.2</w:t>
      </w:r>
      <w:r>
        <w:tab/>
        <w:t>Cronograma, WBS y Manejo Acoplado de Riesgos</w:t>
      </w:r>
    </w:p>
    <w:p w:rsidR="008A1EC1" w:rsidRDefault="006563A3">
      <w:pPr>
        <w:numPr>
          <w:ilvl w:val="0"/>
          <w:numId w:val="23"/>
        </w:numPr>
        <w:spacing w:after="251"/>
        <w:ind w:right="281" w:hanging="234"/>
      </w:pPr>
      <w:r>
        <w:t xml:space="preserve">Árbol Estructural Desglosado de Trabajo (WBS): </w:t>
      </w:r>
      <w:r>
        <w:t>Subdivide y paraleliza los requerimientos operacionales y car</w:t>
      </w:r>
      <w:r>
        <w:t xml:space="preserve">gas de manufactura en un esquema matricial jerárquico. Las ingenierías ramificadas como el *Software del OBC*, *Manufactura Térmica EPS* y *Entrenamiento IA del </w:t>
      </w:r>
      <w:proofErr w:type="spellStart"/>
      <w:r>
        <w:t>Payload</w:t>
      </w:r>
      <w:proofErr w:type="spellEnd"/>
      <w:r>
        <w:t>* progresan encapsuladas y confluyen transversalmente en hitos mecánicos vinculantes (</w:t>
      </w:r>
      <w:proofErr w:type="spellStart"/>
      <w:r>
        <w:t>eg</w:t>
      </w:r>
      <w:proofErr w:type="spellEnd"/>
      <w:r>
        <w:t xml:space="preserve">., Integración de Mazo de Cables y pruebas </w:t>
      </w:r>
      <w:proofErr w:type="spellStart"/>
      <w:r>
        <w:rPr>
          <w:i/>
        </w:rPr>
        <w:t>FlatSat</w:t>
      </w:r>
      <w:proofErr w:type="spellEnd"/>
      <w:r>
        <w:t>).</w:t>
      </w:r>
    </w:p>
    <w:p w:rsidR="008A1EC1" w:rsidRDefault="006563A3">
      <w:pPr>
        <w:numPr>
          <w:ilvl w:val="0"/>
          <w:numId w:val="23"/>
        </w:numPr>
        <w:spacing w:after="410"/>
        <w:ind w:right="281" w:hanging="234"/>
      </w:pPr>
      <w:r>
        <w:t>Matriz de Control y Mitigación de Riesgos Técnicos (</w:t>
      </w:r>
      <w:proofErr w:type="spellStart"/>
      <w:r>
        <w:t>Risk</w:t>
      </w:r>
      <w:proofErr w:type="spellEnd"/>
      <w:r>
        <w:t xml:space="preserve"> Management): </w:t>
      </w:r>
      <w:r>
        <w:t>Previsión estocástica atada al control de fallas del hardware. Tipifica desastres potenciales en órbita (como cortocircuitos causados</w:t>
      </w:r>
      <w:r>
        <w:t xml:space="preserve"> por radiación o falla en soldaduras BGA tras vibración de cohete).</w:t>
      </w:r>
    </w:p>
    <w:p w:rsidR="008A1EC1" w:rsidRDefault="006563A3">
      <w:pPr>
        <w:ind w:left="-5" w:right="281"/>
      </w:pPr>
      <w:r>
        <w:t xml:space="preserve">Delinea además respuestas técnicas </w:t>
      </w:r>
      <w:proofErr w:type="spellStart"/>
      <w:r>
        <w:t>pre-vuelo</w:t>
      </w:r>
      <w:proofErr w:type="spellEnd"/>
      <w:r>
        <w:t xml:space="preserve"> ante infortunios inevitables: por ejemplo, ante </w:t>
      </w:r>
      <w:proofErr w:type="spellStart"/>
      <w:r>
        <w:t>sub-voltaje</w:t>
      </w:r>
      <w:proofErr w:type="spellEnd"/>
      <w:r>
        <w:t xml:space="preserve"> severo por eclipse persistente, la planificación delega el diseño inteligente preve</w:t>
      </w:r>
      <w:r>
        <w:t>ntivo (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Design</w:t>
      </w:r>
      <w:proofErr w:type="spellEnd"/>
      <w:r>
        <w:t xml:space="preserve">) la reacción de contingencia hacia el </w:t>
      </w:r>
      <w:r>
        <w:rPr>
          <w:i/>
        </w:rPr>
        <w:t>Modo de Seguridad (</w:t>
      </w:r>
      <w:proofErr w:type="spellStart"/>
      <w:r>
        <w:rPr>
          <w:i/>
        </w:rPr>
        <w:t>Safe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</w:t>
      </w:r>
      <w:proofErr w:type="spellEnd"/>
      <w:r>
        <w:rPr>
          <w:i/>
        </w:rPr>
        <w:t>)</w:t>
      </w:r>
      <w:r>
        <w:t xml:space="preserve">, deteniendo la degradación fatal, desconectando instrumentos colaterales en conjunto y enviando peticiones de emergencia a la red terrestre global a espera del </w:t>
      </w:r>
      <w:proofErr w:type="spellStart"/>
      <w:r>
        <w:rPr>
          <w:i/>
        </w:rPr>
        <w:t>Troubleshoo</w:t>
      </w:r>
      <w:r>
        <w:rPr>
          <w:i/>
        </w:rPr>
        <w:t>ting</w:t>
      </w:r>
      <w:proofErr w:type="spellEnd"/>
      <w:r>
        <w:rPr>
          <w:i/>
        </w:rPr>
        <w:t xml:space="preserve"> </w:t>
      </w:r>
      <w:r>
        <w:t>en consola.</w:t>
      </w:r>
    </w:p>
    <w:p w:rsidR="008A1EC1" w:rsidRDefault="008A1EC1">
      <w:pPr>
        <w:sectPr w:rsidR="008A1EC1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pgSz w:w="11906" w:h="16838"/>
          <w:pgMar w:top="2003" w:right="1292" w:bottom="996" w:left="1587" w:header="794" w:footer="104" w:gutter="0"/>
          <w:cols w:space="720"/>
        </w:sectPr>
      </w:pPr>
    </w:p>
    <w:p w:rsidR="008A1EC1" w:rsidRDefault="006563A3">
      <w:pPr>
        <w:pStyle w:val="Ttulo1"/>
      </w:pPr>
      <w:proofErr w:type="spellStart"/>
      <w:r>
        <w:lastRenderedPageBreak/>
        <w:t>Appendix</w:t>
      </w:r>
      <w:proofErr w:type="spellEnd"/>
      <w:r>
        <w:t xml:space="preserve"> A</w:t>
      </w:r>
    </w:p>
    <w:p w:rsidR="008A1EC1" w:rsidRDefault="006563A3">
      <w:pPr>
        <w:spacing w:after="814" w:line="265" w:lineRule="auto"/>
        <w:ind w:left="157"/>
        <w:jc w:val="left"/>
      </w:pPr>
      <w:r>
        <w:rPr>
          <w:color w:val="002855"/>
          <w:sz w:val="34"/>
        </w:rPr>
        <w:t>Referencias</w:t>
      </w:r>
    </w:p>
    <w:p w:rsidR="008A1EC1" w:rsidRDefault="006563A3">
      <w:pPr>
        <w:numPr>
          <w:ilvl w:val="0"/>
          <w:numId w:val="24"/>
        </w:numPr>
        <w:spacing w:after="173" w:line="259" w:lineRule="auto"/>
        <w:ind w:left="483" w:right="939" w:hanging="234"/>
      </w:pPr>
      <w:r>
        <w:t>ECSS-E-ST-10C – Requisitos de ingeniería de sistemas espaciales</w:t>
      </w:r>
    </w:p>
    <w:p w:rsidR="008A1EC1" w:rsidRDefault="006563A3">
      <w:pPr>
        <w:numPr>
          <w:ilvl w:val="0"/>
          <w:numId w:val="24"/>
        </w:numPr>
        <w:ind w:left="483" w:right="939" w:hanging="234"/>
      </w:pPr>
      <w:r>
        <w:t xml:space="preserve">NASA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Handbook</w:t>
      </w:r>
      <w:proofErr w:type="spellEnd"/>
      <w:r>
        <w:br w:type="page"/>
      </w:r>
    </w:p>
    <w:p w:rsidR="008A1EC1" w:rsidRDefault="006563A3">
      <w:pPr>
        <w:pStyle w:val="Ttulo1"/>
      </w:pPr>
      <w:proofErr w:type="spellStart"/>
      <w:r>
        <w:lastRenderedPageBreak/>
        <w:t>Appendix</w:t>
      </w:r>
      <w:proofErr w:type="spellEnd"/>
      <w:r>
        <w:t xml:space="preserve"> B</w:t>
      </w:r>
    </w:p>
    <w:p w:rsidR="008A1EC1" w:rsidRDefault="006563A3">
      <w:pPr>
        <w:spacing w:after="980" w:line="265" w:lineRule="auto"/>
        <w:ind w:left="157"/>
        <w:jc w:val="left"/>
      </w:pPr>
      <w:r>
        <w:rPr>
          <w:color w:val="002855"/>
          <w:sz w:val="34"/>
        </w:rPr>
        <w:t>Anexos</w:t>
      </w:r>
    </w:p>
    <w:p w:rsidR="008A1EC1" w:rsidRDefault="006563A3">
      <w:pPr>
        <w:pStyle w:val="Ttulo2"/>
        <w:tabs>
          <w:tab w:val="center" w:pos="4744"/>
        </w:tabs>
        <w:ind w:left="0" w:firstLine="0"/>
      </w:pPr>
      <w:r>
        <w:t>B.1</w:t>
      </w:r>
      <w:r>
        <w:tab/>
        <w:t>Diagramas, tablas y presupuestos adicionales</w:t>
      </w:r>
    </w:p>
    <w:sectPr w:rsidR="008A1EC1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6" w:h="16838"/>
      <w:pgMar w:top="1440" w:right="1440" w:bottom="1440" w:left="1440" w:header="4175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3A3" w:rsidRDefault="006563A3">
      <w:pPr>
        <w:spacing w:after="0" w:line="240" w:lineRule="auto"/>
      </w:pPr>
      <w:r>
        <w:separator/>
      </w:r>
    </w:p>
  </w:endnote>
  <w:endnote w:type="continuationSeparator" w:id="0">
    <w:p w:rsidR="006563A3" w:rsidRDefault="00656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59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10013544</wp:posOffset>
              </wp:positionV>
              <wp:extent cx="5544009" cy="612263"/>
              <wp:effectExtent l="0" t="0" r="0" b="0"/>
              <wp:wrapSquare wrapText="bothSides"/>
              <wp:docPr id="20785" name="Group 20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4009" cy="612263"/>
                        <a:chOff x="0" y="0"/>
                        <a:chExt cx="5544009" cy="612263"/>
                      </a:xfrm>
                    </wpg:grpSpPr>
                    <wps:wsp>
                      <wps:cNvPr id="20786" name="Shape 20786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787" name="Picture 20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660"/>
                          <a:ext cx="468461" cy="506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88" name="Rectangle 20788"/>
                      <wps:cNvSpPr/>
                      <wps:spPr>
                        <a:xfrm>
                          <a:off x="5395367" y="420652"/>
                          <a:ext cx="197695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5" style="width:436.536pt;height:48.2097pt;position:absolute;mso-position-horizontal-relative:page;mso-position-horizontal:absolute;margin-left:79.37pt;mso-position-vertical-relative:page;margin-top:788.468pt;" coordsize="55440,6122">
              <v:shape id="Shape 20786" style="position:absolute;width:55439;height:0;left:0;top:0;" coordsize="5543995,0" path="m0,0l5543995,0">
                <v:stroke weight="0.398pt" endcap="flat" joinstyle="miter" miterlimit="10" on="true" color="#000000"/>
                <v:fill on="false" color="#000000" opacity="0"/>
              </v:shape>
              <v:shape id="Picture 20787" style="position:absolute;width:4684;height:5060;left:0;top:576;" filled="f">
                <v:imagedata r:id="rId40"/>
              </v:shape>
              <v:rect id="Rectangle 20788" style="position:absolute;width:1976;height:2548;left:53953;top:42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fldSimple w:instr=" PAGE   \* MERGEFORMAT ">
                        <w:r>
                          <w:rPr/>
                          <w:t xml:space="preserve">10</w:t>
                        </w:r>
                      </w:fldSimple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10013544</wp:posOffset>
              </wp:positionV>
              <wp:extent cx="5544009" cy="612263"/>
              <wp:effectExtent l="0" t="0" r="0" b="0"/>
              <wp:wrapSquare wrapText="bothSides"/>
              <wp:docPr id="20840" name="Group 20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4009" cy="612263"/>
                        <a:chOff x="0" y="0"/>
                        <a:chExt cx="5544009" cy="612263"/>
                      </a:xfrm>
                    </wpg:grpSpPr>
                    <wps:wsp>
                      <wps:cNvPr id="20841" name="Shape 20841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42" name="Picture 208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660"/>
                          <a:ext cx="468461" cy="506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43" name="Rectangle 20843"/>
                      <wps:cNvSpPr/>
                      <wps:spPr>
                        <a:xfrm>
                          <a:off x="5395367" y="420652"/>
                          <a:ext cx="197695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0" style="width:436.536pt;height:48.2097pt;position:absolute;mso-position-horizontal-relative:page;mso-position-horizontal:absolute;margin-left:79.37pt;mso-position-vertical-relative:page;margin-top:788.468pt;" coordsize="55440,6122">
              <v:shape id="Shape 20841" style="position:absolute;width:55439;height:0;left:0;top:0;" coordsize="5543995,0" path="m0,0l5543995,0">
                <v:stroke weight="0.398pt" endcap="flat" joinstyle="miter" miterlimit="10" on="true" color="#000000"/>
                <v:fill on="false" color="#000000" opacity="0"/>
              </v:shape>
              <v:shape id="Picture 20842" style="position:absolute;width:4684;height:5060;left:0;top:576;" filled="f">
                <v:imagedata r:id="rId40"/>
              </v:shape>
              <v:rect id="Rectangle 20843" style="position:absolute;width:1976;height:2548;left:53953;top:42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fldSimple w:instr=" PAGE   \* MERGEFORMAT ">
                        <w:r>
                          <w:rPr/>
                          <w:t xml:space="preserve">10</w:t>
                        </w:r>
                      </w:fldSimple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10013544</wp:posOffset>
              </wp:positionV>
              <wp:extent cx="5544009" cy="612263"/>
              <wp:effectExtent l="0" t="0" r="0" b="0"/>
              <wp:wrapSquare wrapText="bothSides"/>
              <wp:docPr id="20822" name="Group 20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4009" cy="612263"/>
                        <a:chOff x="0" y="0"/>
                        <a:chExt cx="5544009" cy="612263"/>
                      </a:xfrm>
                    </wpg:grpSpPr>
                    <wps:wsp>
                      <wps:cNvPr id="20823" name="Shape 20823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24" name="Picture 208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660"/>
                          <a:ext cx="468461" cy="506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25" name="Rectangle 20825"/>
                      <wps:cNvSpPr/>
                      <wps:spPr>
                        <a:xfrm>
                          <a:off x="5395367" y="420652"/>
                          <a:ext cx="197695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22" style="width:436.536pt;height:48.2097pt;position:absolute;mso-position-horizontal-relative:page;mso-position-horizontal:absolute;margin-left:79.37pt;mso-position-vertical-relative:page;margin-top:788.468pt;" coordsize="55440,6122">
              <v:shape id="Shape 20823" style="position:absolute;width:55439;height:0;left:0;top:0;" coordsize="5543995,0" path="m0,0l5543995,0">
                <v:stroke weight="0.398pt" endcap="flat" joinstyle="miter" miterlimit="10" on="true" color="#000000"/>
                <v:fill on="false" color="#000000" opacity="0"/>
              </v:shape>
              <v:shape id="Picture 20824" style="position:absolute;width:4684;height:5060;left:0;top:576;" filled="f">
                <v:imagedata r:id="rId40"/>
              </v:shape>
              <v:rect id="Rectangle 20825" style="position:absolute;width:1976;height:2548;left:53953;top:42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fldSimple w:instr=" PAGE   \* MERGEFORMAT ">
                        <w:r>
                          <w:rPr/>
                          <w:t xml:space="preserve">10</w:t>
                        </w:r>
                      </w:fldSimple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10013544</wp:posOffset>
              </wp:positionV>
              <wp:extent cx="5544009" cy="612263"/>
              <wp:effectExtent l="0" t="0" r="0" b="0"/>
              <wp:wrapSquare wrapText="bothSides"/>
              <wp:docPr id="20804" name="Group 20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4009" cy="612263"/>
                        <a:chOff x="0" y="0"/>
                        <a:chExt cx="5544009" cy="612263"/>
                      </a:xfrm>
                    </wpg:grpSpPr>
                    <wps:wsp>
                      <wps:cNvPr id="20805" name="Shape 20805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06" name="Picture 208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660"/>
                          <a:ext cx="468461" cy="506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07" name="Rectangle 20807"/>
                      <wps:cNvSpPr/>
                      <wps:spPr>
                        <a:xfrm>
                          <a:off x="5395367" y="420652"/>
                          <a:ext cx="197695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04" style="width:436.536pt;height:48.2097pt;position:absolute;mso-position-horizontal-relative:page;mso-position-horizontal:absolute;margin-left:79.37pt;mso-position-vertical-relative:page;margin-top:788.468pt;" coordsize="55440,6122">
              <v:shape id="Shape 20805" style="position:absolute;width:55439;height:0;left:0;top:0;" coordsize="5543995,0" path="m0,0l5543995,0">
                <v:stroke weight="0.398pt" endcap="flat" joinstyle="miter" miterlimit="10" on="true" color="#000000"/>
                <v:fill on="false" color="#000000" opacity="0"/>
              </v:shape>
              <v:shape id="Picture 20806" style="position:absolute;width:4684;height:5060;left:0;top:576;" filled="f">
                <v:imagedata r:id="rId40"/>
              </v:shape>
              <v:rect id="Rectangle 20807" style="position:absolute;width:1976;height:2548;left:53953;top:42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fldSimple w:instr=" PAGE   \* MERGEFORMAT ">
                        <w:r>
                          <w:rPr/>
                          <w:t xml:space="preserve">10</w:t>
                        </w:r>
                      </w:fldSimple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right="2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2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10013544</wp:posOffset>
              </wp:positionV>
              <wp:extent cx="5544009" cy="612263"/>
              <wp:effectExtent l="0" t="0" r="0" b="0"/>
              <wp:wrapSquare wrapText="bothSides"/>
              <wp:docPr id="20871" name="Group 20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4009" cy="612263"/>
                        <a:chOff x="0" y="0"/>
                        <a:chExt cx="5544009" cy="612263"/>
                      </a:xfrm>
                    </wpg:grpSpPr>
                    <wps:wsp>
                      <wps:cNvPr id="20872" name="Shape 20872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73" name="Picture 208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7660"/>
                          <a:ext cx="468461" cy="5060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74" name="Rectangle 20874"/>
                      <wps:cNvSpPr/>
                      <wps:spPr>
                        <a:xfrm>
                          <a:off x="5395367" y="420652"/>
                          <a:ext cx="197695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71" style="width:436.536pt;height:48.2097pt;position:absolute;mso-position-horizontal-relative:page;mso-position-horizontal:absolute;margin-left:79.37pt;mso-position-vertical-relative:page;margin-top:788.468pt;" coordsize="55440,6122">
              <v:shape id="Shape 20872" style="position:absolute;width:55439;height:0;left:0;top:0;" coordsize="5543995,0" path="m0,0l5543995,0">
                <v:stroke weight="0.398pt" endcap="flat" joinstyle="miter" miterlimit="10" on="true" color="#000000"/>
                <v:fill on="false" color="#000000" opacity="0"/>
              </v:shape>
              <v:shape id="Picture 20873" style="position:absolute;width:4684;height:5060;left:0;top:576;" filled="f">
                <v:imagedata r:id="rId40"/>
              </v:shape>
              <v:rect id="Rectangle 20874" style="position:absolute;width:1976;height:2548;left:53953;top:420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fldSimple w:instr=" PAGE   \* MERGEFORMAT ">
                        <w:r>
                          <w:rPr/>
                          <w:t xml:space="preserve">10</w:t>
                        </w:r>
                      </w:fldSimple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right="2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3A3" w:rsidRDefault="006563A3">
      <w:pPr>
        <w:spacing w:after="0" w:line="240" w:lineRule="auto"/>
      </w:pPr>
      <w:r>
        <w:separator/>
      </w:r>
    </w:p>
  </w:footnote>
  <w:footnote w:type="continuationSeparator" w:id="0">
    <w:p w:rsidR="006563A3" w:rsidRDefault="00656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1031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2053793</wp:posOffset>
              </wp:positionV>
              <wp:extent cx="5543995" cy="12649"/>
              <wp:effectExtent l="0" t="0" r="0" b="0"/>
              <wp:wrapSquare wrapText="bothSides"/>
              <wp:docPr id="20736" name="Group 20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737" name="Shape 20737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36" style="width:436.535pt;height:0.996pt;position:absolute;mso-position-horizontal-relative:page;mso-position-horizontal:absolute;margin-left:79.37pt;mso-position-vertical-relative:page;margin-top:161.716pt;" coordsize="55439,126">
              <v:shape id="Shape 20737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1031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2053793</wp:posOffset>
              </wp:positionV>
              <wp:extent cx="5543995" cy="12649"/>
              <wp:effectExtent l="0" t="0" r="0" b="0"/>
              <wp:wrapSquare wrapText="bothSides"/>
              <wp:docPr id="20724" name="Group 20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725" name="Shape 20725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24" style="width:436.535pt;height:0.996pt;position:absolute;mso-position-horizontal-relative:page;mso-position-horizontal:absolute;margin-left:79.37pt;mso-position-vertical-relative:page;margin-top:161.716pt;" coordsize="55439,126">
              <v:shape id="Shape 20725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59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503879</wp:posOffset>
              </wp:positionV>
              <wp:extent cx="5543995" cy="560482"/>
              <wp:effectExtent l="0" t="0" r="0" b="0"/>
              <wp:wrapSquare wrapText="bothSides"/>
              <wp:docPr id="20775" name="Group 20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560482"/>
                        <a:chOff x="0" y="0"/>
                        <a:chExt cx="5543995" cy="560482"/>
                      </a:xfrm>
                    </wpg:grpSpPr>
                    <pic:pic xmlns:pic="http://schemas.openxmlformats.org/drawingml/2006/picture">
                      <pic:nvPicPr>
                        <pic:cNvPr id="20776" name="Picture 20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28" cy="3795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79" name="Rectangle 20779"/>
                      <wps:cNvSpPr/>
                      <wps:spPr>
                        <a:xfrm>
                          <a:off x="1644536" y="181793"/>
                          <a:ext cx="2999143" cy="178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APSCO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Cubesat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Competition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80" name="Rectangle 20780"/>
                      <wps:cNvSpPr/>
                      <wps:spPr>
                        <a:xfrm>
                          <a:off x="1717815" y="326996"/>
                          <a:ext cx="2804134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Detailed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78" name="Picture 20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64494" y="78"/>
                          <a:ext cx="379480" cy="379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77" name="Shape 20777"/>
                      <wps:cNvSpPr/>
                      <wps:spPr>
                        <a:xfrm>
                          <a:off x="0" y="560482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75" style="width:436.535pt;height:44.1325pt;position:absolute;mso-position-horizontal-relative:page;mso-position-horizontal:absolute;margin-left:79.37pt;mso-position-vertical-relative:page;margin-top:39.6755pt;" coordsize="55439,5604">
              <v:shape id="Picture 20776" style="position:absolute;width:3869;height:3795;left:0;top:0;" filled="f">
                <v:imagedata r:id="rId39"/>
              </v:shape>
              <v:rect id="Rectangle 20779" style="position:absolute;width:29991;height:1785;left:16445;top:18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APSCO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Cubesat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Competition</w:t>
                      </w:r>
                    </w:p>
                  </w:txbxContent>
                </v:textbox>
              </v:rect>
              <v:rect id="Rectangle 20780" style="position:absolute;width:28041;height:2548;left:17178;top:32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Detailed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Design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Report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–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Ver.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/>
                        <w:t xml:space="preserve">1</w:t>
                      </w:r>
                    </w:p>
                  </w:txbxContent>
                </v:textbox>
              </v:rect>
              <v:shape id="Picture 20778" style="position:absolute;width:3794;height:3794;left:51644;top:0;" filled="f">
                <v:imagedata r:id="rId37"/>
              </v:shape>
              <v:shape id="Shape 20777" style="position:absolute;width:55439;height:0;left:0;top:5604;" coordsize="5543995,0" path="m0,0l5543995,0">
                <v:stroke weight="0.398pt" endcap="flat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8A1EC1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503879</wp:posOffset>
              </wp:positionV>
              <wp:extent cx="5543995" cy="560482"/>
              <wp:effectExtent l="0" t="0" r="0" b="0"/>
              <wp:wrapSquare wrapText="bothSides"/>
              <wp:docPr id="20830" name="Group 20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560482"/>
                        <a:chOff x="0" y="0"/>
                        <a:chExt cx="5543995" cy="560482"/>
                      </a:xfrm>
                    </wpg:grpSpPr>
                    <pic:pic xmlns:pic="http://schemas.openxmlformats.org/drawingml/2006/picture">
                      <pic:nvPicPr>
                        <pic:cNvPr id="20831" name="Picture 208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28" cy="3795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34" name="Rectangle 20834"/>
                      <wps:cNvSpPr/>
                      <wps:spPr>
                        <a:xfrm>
                          <a:off x="1644536" y="181793"/>
                          <a:ext cx="2999143" cy="178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APSCO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Cubesat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Competition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35" name="Rectangle 20835"/>
                      <wps:cNvSpPr/>
                      <wps:spPr>
                        <a:xfrm>
                          <a:off x="1717815" y="326996"/>
                          <a:ext cx="2804134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Detailed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33" name="Picture 208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64494" y="78"/>
                          <a:ext cx="379480" cy="379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32" name="Shape 20832"/>
                      <wps:cNvSpPr/>
                      <wps:spPr>
                        <a:xfrm>
                          <a:off x="0" y="560482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30" style="width:436.535pt;height:44.1325pt;position:absolute;mso-position-horizontal-relative:page;mso-position-horizontal:absolute;margin-left:79.37pt;mso-position-vertical-relative:page;margin-top:39.6755pt;" coordsize="55439,5604">
              <v:shape id="Picture 20831" style="position:absolute;width:3869;height:3795;left:0;top:0;" filled="f">
                <v:imagedata r:id="rId39"/>
              </v:shape>
              <v:rect id="Rectangle 20834" style="position:absolute;width:29991;height:1785;left:16445;top:18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APSCO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Cubesat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Competition</w:t>
                      </w:r>
                    </w:p>
                  </w:txbxContent>
                </v:textbox>
              </v:rect>
              <v:rect id="Rectangle 20835" style="position:absolute;width:28041;height:2548;left:17178;top:32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Detailed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Design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Report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–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Ver.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/>
                        <w:t xml:space="preserve">1</w:t>
                      </w:r>
                    </w:p>
                  </w:txbxContent>
                </v:textbox>
              </v:rect>
              <v:shape id="Picture 20833" style="position:absolute;width:3794;height:3794;left:51644;top:0;" filled="f">
                <v:imagedata r:id="rId37"/>
              </v:shape>
              <v:shape id="Shape 20832" style="position:absolute;width:55439;height:0;left:0;top:5604;" coordsize="5543995,0" path="m0,0l5543995,0">
                <v:stroke weight="0.398pt" endcap="flat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503879</wp:posOffset>
              </wp:positionV>
              <wp:extent cx="5543995" cy="560482"/>
              <wp:effectExtent l="0" t="0" r="0" b="0"/>
              <wp:wrapSquare wrapText="bothSides"/>
              <wp:docPr id="20812" name="Group 20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560482"/>
                        <a:chOff x="0" y="0"/>
                        <a:chExt cx="5543995" cy="560482"/>
                      </a:xfrm>
                    </wpg:grpSpPr>
                    <pic:pic xmlns:pic="http://schemas.openxmlformats.org/drawingml/2006/picture">
                      <pic:nvPicPr>
                        <pic:cNvPr id="20813" name="Picture 208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28" cy="3795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16" name="Rectangle 20816"/>
                      <wps:cNvSpPr/>
                      <wps:spPr>
                        <a:xfrm>
                          <a:off x="1644536" y="181793"/>
                          <a:ext cx="2999143" cy="178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APSCO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Cubesat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Competition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17" name="Rectangle 20817"/>
                      <wps:cNvSpPr/>
                      <wps:spPr>
                        <a:xfrm>
                          <a:off x="1717815" y="326996"/>
                          <a:ext cx="2804134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Detailed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5" name="Picture 208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64494" y="78"/>
                          <a:ext cx="379480" cy="379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14" name="Shape 20814"/>
                      <wps:cNvSpPr/>
                      <wps:spPr>
                        <a:xfrm>
                          <a:off x="0" y="560482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12" style="width:436.535pt;height:44.1325pt;position:absolute;mso-position-horizontal-relative:page;mso-position-horizontal:absolute;margin-left:79.37pt;mso-position-vertical-relative:page;margin-top:39.6755pt;" coordsize="55439,5604">
              <v:shape id="Picture 20813" style="position:absolute;width:3869;height:3795;left:0;top:0;" filled="f">
                <v:imagedata r:id="rId39"/>
              </v:shape>
              <v:rect id="Rectangle 20816" style="position:absolute;width:29991;height:1785;left:16445;top:18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APSCO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Cubesat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Competition</w:t>
                      </w:r>
                    </w:p>
                  </w:txbxContent>
                </v:textbox>
              </v:rect>
              <v:rect id="Rectangle 20817" style="position:absolute;width:28041;height:2548;left:17178;top:32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Detailed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Design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Report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–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Ver.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/>
                        <w:t xml:space="preserve">1</w:t>
                      </w:r>
                    </w:p>
                  </w:txbxContent>
                </v:textbox>
              </v:rect>
              <v:shape id="Picture 20815" style="position:absolute;width:3794;height:3794;left:51644;top:0;" filled="f">
                <v:imagedata r:id="rId37"/>
              </v:shape>
              <v:shape id="Shape 20814" style="position:absolute;width:55439;height:0;left:0;top:5604;" coordsize="5543995,0" path="m0,0l5543995,0">
                <v:stroke weight="0.398pt" endcap="flat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503879</wp:posOffset>
              </wp:positionV>
              <wp:extent cx="5543995" cy="560482"/>
              <wp:effectExtent l="0" t="0" r="0" b="0"/>
              <wp:wrapSquare wrapText="bothSides"/>
              <wp:docPr id="20794" name="Group 20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560482"/>
                        <a:chOff x="0" y="0"/>
                        <a:chExt cx="5543995" cy="560482"/>
                      </a:xfrm>
                    </wpg:grpSpPr>
                    <pic:pic xmlns:pic="http://schemas.openxmlformats.org/drawingml/2006/picture">
                      <pic:nvPicPr>
                        <pic:cNvPr id="20795" name="Picture 20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28" cy="3795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98" name="Rectangle 20798"/>
                      <wps:cNvSpPr/>
                      <wps:spPr>
                        <a:xfrm>
                          <a:off x="1644536" y="181793"/>
                          <a:ext cx="2999143" cy="178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APSCO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Cubesat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Competition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799" name="Rectangle 20799"/>
                      <wps:cNvSpPr/>
                      <wps:spPr>
                        <a:xfrm>
                          <a:off x="1717815" y="326996"/>
                          <a:ext cx="2804134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Detailed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797" name="Picture 207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64494" y="78"/>
                          <a:ext cx="379480" cy="379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96" name="Shape 20796"/>
                      <wps:cNvSpPr/>
                      <wps:spPr>
                        <a:xfrm>
                          <a:off x="0" y="560482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94" style="width:436.535pt;height:44.1325pt;position:absolute;mso-position-horizontal-relative:page;mso-position-horizontal:absolute;margin-left:79.37pt;mso-position-vertical-relative:page;margin-top:39.6755pt;" coordsize="55439,5604">
              <v:shape id="Picture 20795" style="position:absolute;width:3869;height:3795;left:0;top:0;" filled="f">
                <v:imagedata r:id="rId39"/>
              </v:shape>
              <v:rect id="Rectangle 20798" style="position:absolute;width:29991;height:1785;left:16445;top:18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APSCO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Cubesat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Competition</w:t>
                      </w:r>
                    </w:p>
                  </w:txbxContent>
                </v:textbox>
              </v:rect>
              <v:rect id="Rectangle 20799" style="position:absolute;width:28041;height:2548;left:17178;top:32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Detailed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Design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Report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–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Ver.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/>
                        <w:t xml:space="preserve">1</w:t>
                      </w:r>
                    </w:p>
                  </w:txbxContent>
                </v:textbox>
              </v:rect>
              <v:shape id="Picture 20797" style="position:absolute;width:3794;height:3794;left:51644;top:0;" filled="f">
                <v:imagedata r:id="rId37"/>
              </v:shape>
              <v:shape id="Shape 20796" style="position:absolute;width:55439;height:0;left:0;top:5604;" coordsize="5543995,0" path="m0,0l5543995,0">
                <v:stroke weight="0.398pt" endcap="flat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1061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2651290</wp:posOffset>
              </wp:positionV>
              <wp:extent cx="5543995" cy="12649"/>
              <wp:effectExtent l="0" t="0" r="0" b="0"/>
              <wp:wrapSquare wrapText="bothSides"/>
              <wp:docPr id="20879" name="Group 20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880" name="Shape 20880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79" style="width:436.535pt;height:0.996pt;position:absolute;mso-position-horizontal-relative:page;mso-position-horizontal:absolute;margin-left:79.37pt;mso-position-vertical-relative:page;margin-top:208.763pt;" coordsize="55439,126">
              <v:shape id="Shape 20880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2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503879</wp:posOffset>
              </wp:positionV>
              <wp:extent cx="5543995" cy="560482"/>
              <wp:effectExtent l="0" t="0" r="0" b="0"/>
              <wp:wrapSquare wrapText="bothSides"/>
              <wp:docPr id="20861" name="Group 20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560482"/>
                        <a:chOff x="0" y="0"/>
                        <a:chExt cx="5543995" cy="560482"/>
                      </a:xfrm>
                    </wpg:grpSpPr>
                    <pic:pic xmlns:pic="http://schemas.openxmlformats.org/drawingml/2006/picture">
                      <pic:nvPicPr>
                        <pic:cNvPr id="20862" name="Picture 208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28" cy="3795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65" name="Rectangle 20865"/>
                      <wps:cNvSpPr/>
                      <wps:spPr>
                        <a:xfrm>
                          <a:off x="1644536" y="181793"/>
                          <a:ext cx="2999143" cy="178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APSCO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Cubesat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Competition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66" name="Rectangle 20866"/>
                      <wps:cNvSpPr/>
                      <wps:spPr>
                        <a:xfrm>
                          <a:off x="1717815" y="326996"/>
                          <a:ext cx="2804134" cy="254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A1EC1" w:rsidRDefault="006563A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Detailed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64" name="Picture 208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64494" y="78"/>
                          <a:ext cx="379480" cy="379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63" name="Shape 20863"/>
                      <wps:cNvSpPr/>
                      <wps:spPr>
                        <a:xfrm>
                          <a:off x="0" y="560482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B4B4B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61" style="width:436.535pt;height:44.1325pt;position:absolute;mso-position-horizontal-relative:page;mso-position-horizontal:absolute;margin-left:79.37pt;mso-position-vertical-relative:page;margin-top:39.6755pt;" coordsize="55439,5604">
              <v:shape id="Picture 20862" style="position:absolute;width:3869;height:3795;left:0;top:0;" filled="f">
                <v:imagedata r:id="rId39"/>
              </v:shape>
              <v:rect id="Rectangle 20865" style="position:absolute;width:29991;height:1785;left:16445;top:18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APSCO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Cubesat</w:t>
                      </w:r>
                      <w:r>
                        <w:rPr>
                          <w:rFonts w:cs="Calibri" w:hAnsi="Calibri" w:eastAsia="Calibri" w:ascii="Calibri"/>
                          <w:spacing w:val="36"/>
                        </w:rPr>
                        <w:t xml:space="preserve"> </w:t>
                      </w:r>
                      <w:r>
                        <w:rPr>
                          <w:rFonts w:cs="Calibri" w:hAnsi="Calibri" w:eastAsia="Calibri" w:ascii="Calibri"/>
                        </w:rPr>
                        <w:t xml:space="preserve">Competition</w:t>
                      </w:r>
                    </w:p>
                  </w:txbxContent>
                </v:textbox>
              </v:rect>
              <v:rect id="Rectangle 20866" style="position:absolute;width:28041;height:2548;left:17178;top:32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Detailed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Design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Report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–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/>
                        <w:t xml:space="preserve">Ver.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/>
                        <w:t xml:space="preserve">1</w:t>
                      </w:r>
                    </w:p>
                  </w:txbxContent>
                </v:textbox>
              </v:rect>
              <v:shape id="Picture 20864" style="position:absolute;width:3794;height:3794;left:51644;top:0;" filled="f">
                <v:imagedata r:id="rId37"/>
              </v:shape>
              <v:shape id="Shape 20863" style="position:absolute;width:55439;height:0;left:0;top:5604;" coordsize="5543995,0" path="m0,0l5543995,0">
                <v:stroke weight="0.398pt" endcap="flat" joinstyle="miter" miterlimit="10" on="true" color="#b4b4b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587" w:right="1061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2651290</wp:posOffset>
              </wp:positionV>
              <wp:extent cx="5543995" cy="12649"/>
              <wp:effectExtent l="0" t="0" r="0" b="0"/>
              <wp:wrapSquare wrapText="bothSides"/>
              <wp:docPr id="20849" name="Group 20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850" name="Shape 20850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9" style="width:436.535pt;height:0.996pt;position:absolute;mso-position-horizontal-relative:page;mso-position-horizontal:absolute;margin-left:79.37pt;mso-position-vertical-relative:page;margin-top:208.763pt;" coordsize="55439,126">
              <v:shape id="Shape 20850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440" w:right="1046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2651290</wp:posOffset>
              </wp:positionV>
              <wp:extent cx="5543995" cy="12649"/>
              <wp:effectExtent l="0" t="0" r="0" b="0"/>
              <wp:wrapSquare wrapText="bothSides"/>
              <wp:docPr id="20916" name="Group 20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917" name="Shape 20917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16" style="width:436.535pt;height:0.996pt;position:absolute;mso-position-horizontal-relative:page;mso-position-horizontal:absolute;margin-left:79.37pt;mso-position-vertical-relative:page;margin-top:208.763pt;" coordsize="55439,126">
              <v:shape id="Shape 20917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440" w:right="1046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2651290</wp:posOffset>
              </wp:positionV>
              <wp:extent cx="5543995" cy="12649"/>
              <wp:effectExtent l="0" t="0" r="0" b="0"/>
              <wp:wrapSquare wrapText="bothSides"/>
              <wp:docPr id="20904" name="Group 20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905" name="Shape 20905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4" style="width:436.535pt;height:0.996pt;position:absolute;mso-position-horizontal-relative:page;mso-position-horizontal:absolute;margin-left:79.37pt;mso-position-vertical-relative:page;margin-top:208.763pt;" coordsize="55439,126">
              <v:shape id="Shape 20905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1EC1" w:rsidRDefault="006563A3">
    <w:pPr>
      <w:spacing w:after="0" w:line="259" w:lineRule="auto"/>
      <w:ind w:left="-1440" w:right="1046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1007999</wp:posOffset>
              </wp:positionH>
              <wp:positionV relativeFrom="page">
                <wp:posOffset>2651290</wp:posOffset>
              </wp:positionV>
              <wp:extent cx="5543995" cy="12649"/>
              <wp:effectExtent l="0" t="0" r="0" b="0"/>
              <wp:wrapSquare wrapText="bothSides"/>
              <wp:docPr id="20892" name="Group 20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3995" cy="12649"/>
                        <a:chOff x="0" y="0"/>
                        <a:chExt cx="5543995" cy="12649"/>
                      </a:xfrm>
                    </wpg:grpSpPr>
                    <wps:wsp>
                      <wps:cNvPr id="20893" name="Shape 20893"/>
                      <wps:cNvSpPr/>
                      <wps:spPr>
                        <a:xfrm>
                          <a:off x="0" y="0"/>
                          <a:ext cx="55439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3995">
                              <a:moveTo>
                                <a:pt x="0" y="0"/>
                              </a:moveTo>
                              <a:lnTo>
                                <a:pt x="5543995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28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92" style="width:436.535pt;height:0.996pt;position:absolute;mso-position-horizontal-relative:page;mso-position-horizontal:absolute;margin-left:79.37pt;mso-position-vertical-relative:page;margin-top:208.763pt;" coordsize="55439,126">
              <v:shape id="Shape 20893" style="position:absolute;width:55439;height:0;left:0;top:0;" coordsize="5543995,0" path="m0,0l5543995,0">
                <v:stroke weight="0.996pt" endcap="flat" joinstyle="miter" miterlimit="10" on="true" color="#002855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D6D79"/>
    <w:multiLevelType w:val="hybridMultilevel"/>
    <w:tmpl w:val="280E0FF4"/>
    <w:lvl w:ilvl="0" w:tplc="667C016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C4488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7C5CE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50BAF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20C2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068DF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0DB3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8011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C807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74205"/>
    <w:multiLevelType w:val="hybridMultilevel"/>
    <w:tmpl w:val="F7FC0D2A"/>
    <w:lvl w:ilvl="0" w:tplc="3E64E80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2C10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0A08B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92134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AC6B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686C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6CBA5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7CAE9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4CD0D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66773"/>
    <w:multiLevelType w:val="hybridMultilevel"/>
    <w:tmpl w:val="F0628B12"/>
    <w:lvl w:ilvl="0" w:tplc="AE46417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E962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E53E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4C6F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4C0E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A9D9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C0BCC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62A8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C712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B365EC"/>
    <w:multiLevelType w:val="multilevel"/>
    <w:tmpl w:val="DCCC3410"/>
    <w:lvl w:ilvl="0">
      <w:start w:val="1"/>
      <w:numFmt w:val="decimal"/>
      <w:lvlText w:val="%1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7A708D"/>
    <w:multiLevelType w:val="hybridMultilevel"/>
    <w:tmpl w:val="271E03D6"/>
    <w:lvl w:ilvl="0" w:tplc="8CAAFA7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F0B29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1AC13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16C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46AA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6A85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076C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065E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90B5A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86284C"/>
    <w:multiLevelType w:val="hybridMultilevel"/>
    <w:tmpl w:val="2CDC5E8C"/>
    <w:lvl w:ilvl="0" w:tplc="8414916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4719E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220CC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4CFDE6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6E408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4E3C4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A75A2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4C2708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90DBC6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8A19DD"/>
    <w:multiLevelType w:val="hybridMultilevel"/>
    <w:tmpl w:val="EE8CFA38"/>
    <w:lvl w:ilvl="0" w:tplc="EDA0AB0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AB17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5A4D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A990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E5A6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18B47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4134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C814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EC7B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B3D32"/>
    <w:multiLevelType w:val="hybridMultilevel"/>
    <w:tmpl w:val="AC0A8B0E"/>
    <w:lvl w:ilvl="0" w:tplc="3C1094E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1EDB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A61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2EEC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30D7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023D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8E09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862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097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DB5516"/>
    <w:multiLevelType w:val="hybridMultilevel"/>
    <w:tmpl w:val="F35CAEF0"/>
    <w:lvl w:ilvl="0" w:tplc="D98A118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CA2CC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48E0AA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AC7C2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0BD14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00C3C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0CDA98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ED82E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E6FDC4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8575C7"/>
    <w:multiLevelType w:val="hybridMultilevel"/>
    <w:tmpl w:val="6096DF62"/>
    <w:lvl w:ilvl="0" w:tplc="645A26E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4B9C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2AB4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465B6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DC2A4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ADE2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EA824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4355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6074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3278AB"/>
    <w:multiLevelType w:val="hybridMultilevel"/>
    <w:tmpl w:val="F440E606"/>
    <w:lvl w:ilvl="0" w:tplc="39386CE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A2955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10F30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4A10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26DF8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2FCE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079E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5E9F2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52119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B866C1"/>
    <w:multiLevelType w:val="hybridMultilevel"/>
    <w:tmpl w:val="88F245FC"/>
    <w:lvl w:ilvl="0" w:tplc="4AAE750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24BD3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E3C9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E817C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A5FC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5C023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EC14E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85C0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B05D5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000055"/>
    <w:multiLevelType w:val="hybridMultilevel"/>
    <w:tmpl w:val="D660B6DC"/>
    <w:lvl w:ilvl="0" w:tplc="92E838E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34FD8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47F8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CC196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4B74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4C051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4F10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2A299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4BCB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634B09"/>
    <w:multiLevelType w:val="hybridMultilevel"/>
    <w:tmpl w:val="DF0C611A"/>
    <w:lvl w:ilvl="0" w:tplc="AFBA19F8">
      <w:start w:val="1"/>
      <w:numFmt w:val="bullet"/>
      <w:lvlText w:val="•"/>
      <w:lvlJc w:val="left"/>
      <w:pPr>
        <w:ind w:left="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8879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6419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8202C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2D66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0650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AF34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A43E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508E6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5C5A22"/>
    <w:multiLevelType w:val="hybridMultilevel"/>
    <w:tmpl w:val="4276F9EC"/>
    <w:lvl w:ilvl="0" w:tplc="7EC2707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52983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8345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4A6C1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8F23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4618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529B5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FECB7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CB9F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194E44"/>
    <w:multiLevelType w:val="hybridMultilevel"/>
    <w:tmpl w:val="AB683FB0"/>
    <w:lvl w:ilvl="0" w:tplc="C168437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2E0DD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06633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EF05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6C87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06196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D8BD6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A850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5A3FD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784BA1"/>
    <w:multiLevelType w:val="hybridMultilevel"/>
    <w:tmpl w:val="42E254E8"/>
    <w:lvl w:ilvl="0" w:tplc="DB32CAD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228E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43AC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C235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78ED7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8654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E286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BE47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C4A1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432605"/>
    <w:multiLevelType w:val="hybridMultilevel"/>
    <w:tmpl w:val="88A47774"/>
    <w:lvl w:ilvl="0" w:tplc="32FEA796">
      <w:start w:val="1"/>
      <w:numFmt w:val="upperLetter"/>
      <w:lvlText w:val="%1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A11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A82A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E41B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A215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B429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8853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001D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8F6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8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0F366E"/>
    <w:multiLevelType w:val="hybridMultilevel"/>
    <w:tmpl w:val="BAA26530"/>
    <w:lvl w:ilvl="0" w:tplc="59FEF9A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4CCC6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CCCF7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CEBE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24D2C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20EBF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2D56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8E9F3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4CD1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C5334C"/>
    <w:multiLevelType w:val="hybridMultilevel"/>
    <w:tmpl w:val="585E7BCE"/>
    <w:lvl w:ilvl="0" w:tplc="F1C007C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A1C0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DC3E9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1237E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9ABA1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06DA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1CA8A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F2BCD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CE7B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CB7FA7"/>
    <w:multiLevelType w:val="hybridMultilevel"/>
    <w:tmpl w:val="DDAE1E48"/>
    <w:lvl w:ilvl="0" w:tplc="37587C7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A0CB8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DA1AA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A5A1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0CD5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C2367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435E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2129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C0CF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DCE27AA"/>
    <w:multiLevelType w:val="hybridMultilevel"/>
    <w:tmpl w:val="E1CCE950"/>
    <w:lvl w:ilvl="0" w:tplc="608C5D1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889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E01D9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B658C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B225C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C556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A93C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63C0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096E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7A68E4"/>
    <w:multiLevelType w:val="hybridMultilevel"/>
    <w:tmpl w:val="6E6CB8CE"/>
    <w:lvl w:ilvl="0" w:tplc="26C26D3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0203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ABD6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875C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0B53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4934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94CD9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6AE79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D4063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D1502A"/>
    <w:multiLevelType w:val="hybridMultilevel"/>
    <w:tmpl w:val="33E2E474"/>
    <w:lvl w:ilvl="0" w:tplc="DA60573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8A20D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A78A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2CF17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FCD48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FEA5A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E91A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10FA6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AEB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11"/>
  </w:num>
  <w:num w:numId="5">
    <w:abstractNumId w:val="23"/>
  </w:num>
  <w:num w:numId="6">
    <w:abstractNumId w:val="0"/>
  </w:num>
  <w:num w:numId="7">
    <w:abstractNumId w:val="22"/>
  </w:num>
  <w:num w:numId="8">
    <w:abstractNumId w:val="5"/>
  </w:num>
  <w:num w:numId="9">
    <w:abstractNumId w:val="20"/>
  </w:num>
  <w:num w:numId="10">
    <w:abstractNumId w:val="8"/>
  </w:num>
  <w:num w:numId="11">
    <w:abstractNumId w:val="21"/>
  </w:num>
  <w:num w:numId="12">
    <w:abstractNumId w:val="15"/>
  </w:num>
  <w:num w:numId="13">
    <w:abstractNumId w:val="19"/>
  </w:num>
  <w:num w:numId="14">
    <w:abstractNumId w:val="7"/>
  </w:num>
  <w:num w:numId="15">
    <w:abstractNumId w:val="12"/>
  </w:num>
  <w:num w:numId="16">
    <w:abstractNumId w:val="1"/>
  </w:num>
  <w:num w:numId="17">
    <w:abstractNumId w:val="16"/>
  </w:num>
  <w:num w:numId="18">
    <w:abstractNumId w:val="14"/>
  </w:num>
  <w:num w:numId="19">
    <w:abstractNumId w:val="2"/>
  </w:num>
  <w:num w:numId="20">
    <w:abstractNumId w:val="18"/>
  </w:num>
  <w:num w:numId="21">
    <w:abstractNumId w:val="10"/>
  </w:num>
  <w:num w:numId="22">
    <w:abstractNumId w:val="6"/>
  </w:num>
  <w:num w:numId="23">
    <w:abstractNumId w:val="9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EC1"/>
    <w:rsid w:val="00155B30"/>
    <w:rsid w:val="006563A3"/>
    <w:rsid w:val="008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CF3C262-E971-499A-A2DE-68A61E10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90" w:line="24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9"/>
      <w:ind w:left="10" w:hanging="10"/>
      <w:jc w:val="center"/>
      <w:outlineLvl w:val="0"/>
    </w:pPr>
    <w:rPr>
      <w:rFonts w:ascii="Calibri" w:eastAsia="Calibri" w:hAnsi="Calibri" w:cs="Calibri"/>
      <w:color w:val="002855"/>
      <w:sz w:val="5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79" w:line="260" w:lineRule="auto"/>
      <w:ind w:left="10" w:hanging="10"/>
      <w:outlineLvl w:val="1"/>
    </w:pPr>
    <w:rPr>
      <w:rFonts w:ascii="Calibri" w:eastAsia="Calibri" w:hAnsi="Calibri" w:cs="Calibri"/>
      <w:color w:val="3C3C3C"/>
      <w:sz w:val="3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47"/>
      <w:ind w:left="10" w:hanging="10"/>
      <w:outlineLvl w:val="2"/>
    </w:pPr>
    <w:rPr>
      <w:rFonts w:ascii="Calibri" w:eastAsia="Calibri" w:hAnsi="Calibri" w:cs="Calibri"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9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2855"/>
      <w:sz w:val="50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3C3C3C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9" Type="http://schemas.openxmlformats.org/officeDocument/2006/relationships/image" Target="media/image2.jpg"/><Relationship Id="rId21" Type="http://schemas.openxmlformats.org/officeDocument/2006/relationships/image" Target="media/image3.jpg"/><Relationship Id="rId42" Type="http://schemas.openxmlformats.org/officeDocument/2006/relationships/header" Target="header7.xml"/><Relationship Id="rId47" Type="http://schemas.openxmlformats.org/officeDocument/2006/relationships/footer" Target="footer9.xml"/><Relationship Id="rId50" Type="http://schemas.openxmlformats.org/officeDocument/2006/relationships/header" Target="header10.xml"/><Relationship Id="rId55" Type="http://schemas.openxmlformats.org/officeDocument/2006/relationships/footer" Target="footer12.xml"/><Relationship Id="rId63" Type="http://schemas.openxmlformats.org/officeDocument/2006/relationships/header" Target="header17.xml"/><Relationship Id="rId68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37" Type="http://schemas.openxmlformats.org/officeDocument/2006/relationships/image" Target="media/image0.jpg"/><Relationship Id="rId40" Type="http://schemas.openxmlformats.org/officeDocument/2006/relationships/image" Target="media/image4.jpg"/><Relationship Id="rId45" Type="http://schemas.openxmlformats.org/officeDocument/2006/relationships/footer" Target="footer8.xml"/><Relationship Id="rId53" Type="http://schemas.openxmlformats.org/officeDocument/2006/relationships/footer" Target="footer11.xml"/><Relationship Id="rId58" Type="http://schemas.openxmlformats.org/officeDocument/2006/relationships/footer" Target="footer13.xml"/><Relationship Id="rId66" Type="http://schemas.openxmlformats.org/officeDocument/2006/relationships/header" Target="header18.xml"/><Relationship Id="rId5" Type="http://schemas.openxmlformats.org/officeDocument/2006/relationships/footnotes" Target="footnotes.xml"/><Relationship Id="rId61" Type="http://schemas.openxmlformats.org/officeDocument/2006/relationships/footer" Target="footer15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4" Type="http://schemas.openxmlformats.org/officeDocument/2006/relationships/footer" Target="footer7.xml"/><Relationship Id="rId52" Type="http://schemas.openxmlformats.org/officeDocument/2006/relationships/footer" Target="footer10.xml"/><Relationship Id="rId60" Type="http://schemas.openxmlformats.org/officeDocument/2006/relationships/header" Target="header15.xml"/><Relationship Id="rId65" Type="http://schemas.openxmlformats.org/officeDocument/2006/relationships/footer" Target="footer1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43" Type="http://schemas.openxmlformats.org/officeDocument/2006/relationships/header" Target="header8.xml"/><Relationship Id="rId48" Type="http://schemas.openxmlformats.org/officeDocument/2006/relationships/image" Target="media/image5.png"/><Relationship Id="rId56" Type="http://schemas.openxmlformats.org/officeDocument/2006/relationships/header" Target="header13.xml"/><Relationship Id="rId64" Type="http://schemas.openxmlformats.org/officeDocument/2006/relationships/footer" Target="footer16.xml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eader" Target="header1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46" Type="http://schemas.openxmlformats.org/officeDocument/2006/relationships/header" Target="header9.xml"/><Relationship Id="rId59" Type="http://schemas.openxmlformats.org/officeDocument/2006/relationships/footer" Target="footer14.xml"/><Relationship Id="rId67" Type="http://schemas.openxmlformats.org/officeDocument/2006/relationships/footer" Target="footer18.xml"/><Relationship Id="rId20" Type="http://schemas.openxmlformats.org/officeDocument/2006/relationships/footer" Target="footer6.xml"/><Relationship Id="rId41" Type="http://schemas.openxmlformats.org/officeDocument/2006/relationships/image" Target="media/image30.jpg"/><Relationship Id="rId54" Type="http://schemas.openxmlformats.org/officeDocument/2006/relationships/header" Target="header12.xml"/><Relationship Id="rId62" Type="http://schemas.openxmlformats.org/officeDocument/2006/relationships/header" Target="header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49" Type="http://schemas.openxmlformats.org/officeDocument/2006/relationships/image" Target="media/image6.jpg"/><Relationship Id="rId57" Type="http://schemas.openxmlformats.org/officeDocument/2006/relationships/header" Target="header14.xm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40" Type="http://schemas.openxmlformats.org/officeDocument/2006/relationships/image" Target="media/image30.jp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40" Type="http://schemas.openxmlformats.org/officeDocument/2006/relationships/image" Target="media/image30.jp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40" Type="http://schemas.openxmlformats.org/officeDocument/2006/relationships/image" Target="media/image30.jp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40" Type="http://schemas.openxmlformats.org/officeDocument/2006/relationships/image" Target="media/image30.jp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40" Type="http://schemas.openxmlformats.org/officeDocument/2006/relationships/image" Target="media/image30.jpg"/></Relationships>
</file>

<file path=word/_rels/header7.xml.rels><?xml version="1.0" encoding="UTF-8" standalone="yes"?>
<Relationships xmlns="http://schemas.openxmlformats.org/package/2006/relationships"><Relationship Id="rId39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image" Target="media/image3.jpg"/><Relationship Id="rId37" Type="http://schemas.openxmlformats.org/officeDocument/2006/relationships/image" Target="media/image0.jpg"/></Relationships>
</file>

<file path=word/_rels/header10.xml.rels><?xml version="1.0" encoding="UTF-8" standalone="yes"?>
<Relationships xmlns="http://schemas.openxmlformats.org/package/2006/relationships"><Relationship Id="rId39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image" Target="media/image3.jpg"/><Relationship Id="rId37" Type="http://schemas.openxmlformats.org/officeDocument/2006/relationships/image" Target="media/image0.jpg"/></Relationships>
</file>

<file path=word/_rels/header11.xml.rels><?xml version="1.0" encoding="UTF-8" standalone="yes"?>
<Relationships xmlns="http://schemas.openxmlformats.org/package/2006/relationships"><Relationship Id="rId39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image" Target="media/image3.jpg"/><Relationship Id="rId37" Type="http://schemas.openxmlformats.org/officeDocument/2006/relationships/image" Target="media/image0.jpg"/></Relationships>
</file>

<file path=word/_rels/header12.xml.rels><?xml version="1.0" encoding="UTF-8" standalone="yes"?>
<Relationships xmlns="http://schemas.openxmlformats.org/package/2006/relationships"><Relationship Id="rId39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image" Target="media/image3.jpg"/><Relationship Id="rId37" Type="http://schemas.openxmlformats.org/officeDocument/2006/relationships/image" Target="media/image0.jpg"/></Relationships>
</file>

<file path=word/_rels/header14.xml.rels><?xml version="1.0" encoding="UTF-8" standalone="yes"?>
<Relationships xmlns="http://schemas.openxmlformats.org/package/2006/relationships"><Relationship Id="rId39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image" Target="media/image3.jpg"/><Relationship Id="rId37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5704</Words>
  <Characters>31372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INTISAT Project Documentation</vt:lpstr>
    </vt:vector>
  </TitlesOfParts>
  <Company/>
  <LinksUpToDate>false</LinksUpToDate>
  <CharactersWithSpaces>37002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INTISAT Project Documentation</dc:title>
  <dc:subject/>
  <dc:creator>INRAS – PUCP</dc:creator>
  <cp:keywords/>
  <cp:lastModifiedBy>Usuario Genérico Laboratorio INRAS</cp:lastModifiedBy>
  <cp:revision>2</cp:revision>
  <dcterms:created xsi:type="dcterms:W3CDTF">2026-04-06T23:02:00Z</dcterms:created>
  <dcterms:modified xsi:type="dcterms:W3CDTF">2026-04-06T23:02:00Z</dcterms:modified>
</cp:coreProperties>
</file>