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9B2C" w14:textId="35CDEE59" w:rsidR="00CA4BA3" w:rsidRDefault="00CA4BA3" w:rsidP="00CA4BA3">
      <w:pPr>
        <w:rPr>
          <w:rFonts w:ascii="Inter" w:hAnsi="Inter"/>
          <w:b/>
          <w:bCs/>
        </w:rPr>
      </w:pPr>
      <w:r w:rsidRPr="003473CE">
        <w:rPr>
          <w:rFonts w:ascii="Inter" w:hAnsi="Inter"/>
          <w:b/>
          <w:bCs/>
        </w:rPr>
        <w:t xml:space="preserve">Main Page: </w:t>
      </w:r>
      <w:r w:rsidRPr="003473CE">
        <w:rPr>
          <w:rFonts w:ascii="Inter" w:hAnsi="Inter"/>
          <w:b/>
          <w:bCs/>
        </w:rPr>
        <w:br/>
      </w:r>
      <w:r w:rsidRPr="00CA4BA3">
        <w:rPr>
          <w:rStyle w:val="s2"/>
          <w:rFonts w:ascii="Inter" w:eastAsiaTheme="majorEastAsia" w:hAnsi="Inter"/>
          <w:b/>
          <w:bCs/>
        </w:rPr>
        <w:t>Singapore Alts &amp; Private Markets Forum</w:t>
      </w:r>
      <w:r w:rsidRPr="003473CE">
        <w:rPr>
          <w:rFonts w:ascii="Inter" w:hAnsi="Inter"/>
          <w:b/>
          <w:bCs/>
        </w:rPr>
        <w:br/>
        <w:t xml:space="preserve">Client | </w:t>
      </w:r>
      <w:r>
        <w:rPr>
          <w:rFonts w:ascii="Inter" w:hAnsi="Inter"/>
          <w:b/>
          <w:bCs/>
        </w:rPr>
        <w:t xml:space="preserve">Orange Door / MUFG </w:t>
      </w:r>
      <w:r w:rsidRPr="003473CE">
        <w:rPr>
          <w:rFonts w:ascii="Inter" w:hAnsi="Inter"/>
          <w:b/>
          <w:bCs/>
        </w:rPr>
        <w:t xml:space="preserve">   </w:t>
      </w:r>
      <w:r w:rsidRPr="003473CE">
        <w:rPr>
          <w:rFonts w:ascii="Inter" w:hAnsi="Inter"/>
          <w:b/>
          <w:bCs/>
        </w:rPr>
        <w:br/>
        <w:t xml:space="preserve">Date | October 2024 </w:t>
      </w:r>
      <w:r w:rsidRPr="003473CE">
        <w:rPr>
          <w:rFonts w:ascii="Inter" w:hAnsi="Inter"/>
          <w:b/>
          <w:bCs/>
        </w:rPr>
        <w:br/>
        <w:t xml:space="preserve">Venue | Raffles Hotel   </w:t>
      </w:r>
    </w:p>
    <w:p w14:paraId="6AC6B7A8" w14:textId="17522B37" w:rsidR="00052E0E" w:rsidRPr="00CA4BA3" w:rsidRDefault="00052E0E" w:rsidP="00CA4BA3">
      <w:pPr>
        <w:pStyle w:val="Heading3"/>
        <w:rPr>
          <w:rFonts w:ascii="Inter" w:hAnsi="Inter"/>
          <w:b w:val="0"/>
          <w:bCs w:val="0"/>
        </w:rPr>
      </w:pPr>
      <w:r w:rsidRPr="00052E0E">
        <w:rPr>
          <w:rFonts w:ascii="Inter" w:hAnsi="Inter"/>
          <w:b w:val="0"/>
          <w:bCs w:val="0"/>
        </w:rPr>
        <w:t>Event Overview</w:t>
      </w:r>
    </w:p>
    <w:p w14:paraId="64809BDE" w14:textId="41FF8821" w:rsidR="00052E0E" w:rsidRPr="00052E0E" w:rsidRDefault="00052E0E" w:rsidP="00052E0E">
      <w:pPr>
        <w:pStyle w:val="p3"/>
        <w:rPr>
          <w:rFonts w:ascii="Inter" w:hAnsi="Inter"/>
          <w:sz w:val="22"/>
          <w:szCs w:val="22"/>
        </w:rPr>
      </w:pPr>
      <w:r w:rsidRPr="00052E0E">
        <w:rPr>
          <w:rFonts w:ascii="Inter" w:hAnsi="Inter"/>
          <w:sz w:val="22"/>
          <w:szCs w:val="22"/>
        </w:rPr>
        <w:t xml:space="preserve">MUFG Investor Services hosted the </w:t>
      </w:r>
      <w:r w:rsidRPr="00052E0E">
        <w:rPr>
          <w:rStyle w:val="s2"/>
          <w:rFonts w:ascii="Inter" w:eastAsiaTheme="majorEastAsia" w:hAnsi="Inter"/>
          <w:sz w:val="22"/>
          <w:szCs w:val="22"/>
        </w:rPr>
        <w:t>Singapore Alts &amp; Private Markets Forum</w:t>
      </w:r>
      <w:r w:rsidRPr="00052E0E">
        <w:rPr>
          <w:rFonts w:ascii="Inter" w:hAnsi="Inter"/>
          <w:sz w:val="22"/>
          <w:szCs w:val="22"/>
        </w:rPr>
        <w:t xml:space="preserve"> at Raffles Hotel, Jubilee Ballroom. The event brought together industry leaders and clients for a day of discussions on fund administration, private markets, and emerging opportunities in Asia.</w:t>
      </w:r>
    </w:p>
    <w:p w14:paraId="34E88CCF" w14:textId="77777777" w:rsidR="00052E0E" w:rsidRPr="00052E0E" w:rsidRDefault="00E8317B" w:rsidP="00052E0E">
      <w:pPr>
        <w:rPr>
          <w:rStyle w:val="s1"/>
          <w:rFonts w:ascii="Inter" w:hAnsi="Inter"/>
        </w:rPr>
      </w:pPr>
      <w:r>
        <w:rPr>
          <w:rStyle w:val="s1"/>
          <w:rFonts w:ascii="Inter" w:hAnsi="Inter"/>
          <w:noProof/>
        </w:rPr>
        <w:pict w14:anchorId="7ADE1D52">
          <v:rect id="_x0000_i1027" alt="" style="width:398.75pt;height:.05pt;mso-width-percent:0;mso-height-percent:0;mso-width-percent:0;mso-height-percent:0" o:hrpct="852" o:hralign="center" o:hrstd="t" o:hr="t" fillcolor="#a0a0a0" stroked="f"/>
        </w:pict>
      </w:r>
    </w:p>
    <w:p w14:paraId="586EB006" w14:textId="77777777" w:rsidR="00052E0E" w:rsidRPr="00052E0E" w:rsidRDefault="00052E0E" w:rsidP="00052E0E">
      <w:pPr>
        <w:pStyle w:val="Heading3"/>
        <w:rPr>
          <w:rFonts w:ascii="Inter" w:hAnsi="Inter"/>
          <w:b w:val="0"/>
          <w:bCs w:val="0"/>
        </w:rPr>
      </w:pPr>
      <w:r w:rsidRPr="00052E0E">
        <w:rPr>
          <w:rFonts w:ascii="Inter" w:hAnsi="Inter"/>
          <w:b w:val="0"/>
          <w:bCs w:val="0"/>
        </w:rPr>
        <w:t>Our Approach</w:t>
      </w:r>
    </w:p>
    <w:p w14:paraId="70E2FBCC" w14:textId="5288731A" w:rsidR="00052E0E" w:rsidRPr="00052E0E" w:rsidRDefault="00CA4BA3" w:rsidP="00052E0E">
      <w:pPr>
        <w:pStyle w:val="p3"/>
        <w:rPr>
          <w:rFonts w:ascii="Inter" w:hAnsi="Inter"/>
          <w:sz w:val="22"/>
          <w:szCs w:val="22"/>
        </w:rPr>
      </w:pPr>
      <w:r>
        <w:rPr>
          <w:rFonts w:ascii="Inter" w:hAnsi="Inter"/>
          <w:sz w:val="22"/>
          <w:szCs w:val="22"/>
        </w:rPr>
        <w:t>Working with UK agency, Orange Door, w</w:t>
      </w:r>
      <w:r w:rsidR="00052E0E" w:rsidRPr="00052E0E">
        <w:rPr>
          <w:rFonts w:ascii="Inter" w:hAnsi="Inter"/>
          <w:sz w:val="22"/>
          <w:szCs w:val="22"/>
        </w:rPr>
        <w:t xml:space="preserve">e designed the experience to carry MUFG’s branding consistently from the moment guests arrived. Escalator wraps and glass decals created strong visibility leading into the venue, while a clean registration counter ensured smooth check-ins. Inside the ballroom, a wide LED backdrop set the stage for panel sessions and keynotes, supported by tailored AV to suit both presentations and discussions. The use of MUFG’s red and white brand </w:t>
      </w:r>
      <w:proofErr w:type="spellStart"/>
      <w:r w:rsidR="00052E0E" w:rsidRPr="00052E0E">
        <w:rPr>
          <w:rFonts w:ascii="Inter" w:hAnsi="Inter"/>
          <w:sz w:val="22"/>
          <w:szCs w:val="22"/>
        </w:rPr>
        <w:t>colours</w:t>
      </w:r>
      <w:proofErr w:type="spellEnd"/>
      <w:r w:rsidR="00052E0E" w:rsidRPr="00052E0E">
        <w:rPr>
          <w:rFonts w:ascii="Inter" w:hAnsi="Inter"/>
          <w:sz w:val="22"/>
          <w:szCs w:val="22"/>
        </w:rPr>
        <w:t xml:space="preserve"> across table dressings and event materials tied the look together.</w:t>
      </w:r>
    </w:p>
    <w:p w14:paraId="4EE2A4FD" w14:textId="77777777" w:rsidR="00052E0E" w:rsidRPr="00052E0E" w:rsidRDefault="00E8317B" w:rsidP="00052E0E">
      <w:pPr>
        <w:rPr>
          <w:rStyle w:val="s1"/>
          <w:rFonts w:ascii="Inter" w:hAnsi="Inter"/>
        </w:rPr>
      </w:pPr>
      <w:r>
        <w:rPr>
          <w:rStyle w:val="s1"/>
          <w:rFonts w:ascii="Inter" w:hAnsi="Inter"/>
          <w:noProof/>
        </w:rPr>
        <w:pict w14:anchorId="3617C85A">
          <v:rect id="_x0000_i1026" alt="" style="width:398.75pt;height:.05pt;mso-width-percent:0;mso-height-percent:0;mso-width-percent:0;mso-height-percent:0" o:hrpct="852" o:hralign="center" o:hrstd="t" o:hr="t" fillcolor="#a0a0a0" stroked="f"/>
        </w:pict>
      </w:r>
    </w:p>
    <w:p w14:paraId="67E05CB1" w14:textId="77777777" w:rsidR="00052E0E" w:rsidRPr="00052E0E" w:rsidRDefault="00052E0E" w:rsidP="00052E0E">
      <w:pPr>
        <w:pStyle w:val="Heading3"/>
        <w:rPr>
          <w:rFonts w:ascii="Inter" w:hAnsi="Inter"/>
          <w:b w:val="0"/>
          <w:bCs w:val="0"/>
        </w:rPr>
      </w:pPr>
      <w:r w:rsidRPr="00052E0E">
        <w:rPr>
          <w:rFonts w:ascii="Inter" w:hAnsi="Inter"/>
          <w:b w:val="0"/>
          <w:bCs w:val="0"/>
        </w:rPr>
        <w:t>Key Highlights</w:t>
      </w:r>
    </w:p>
    <w:p w14:paraId="2550E9E3" w14:textId="77777777" w:rsidR="00052E0E" w:rsidRPr="00052E0E" w:rsidRDefault="00052E0E" w:rsidP="00052E0E">
      <w:pPr>
        <w:pStyle w:val="p1"/>
        <w:numPr>
          <w:ilvl w:val="0"/>
          <w:numId w:val="10"/>
        </w:numPr>
        <w:rPr>
          <w:rFonts w:ascii="Inter" w:hAnsi="Inter"/>
          <w:sz w:val="22"/>
          <w:szCs w:val="22"/>
        </w:rPr>
      </w:pPr>
      <w:r w:rsidRPr="00052E0E">
        <w:rPr>
          <w:rFonts w:ascii="Inter" w:hAnsi="Inter"/>
          <w:sz w:val="22"/>
          <w:szCs w:val="22"/>
        </w:rPr>
        <w:t>Full branding takeover, including escalator panels, foyer decals, and registration desk.</w:t>
      </w:r>
    </w:p>
    <w:p w14:paraId="2C297F69" w14:textId="77777777" w:rsidR="00052E0E" w:rsidRPr="00052E0E" w:rsidRDefault="00052E0E" w:rsidP="00052E0E">
      <w:pPr>
        <w:pStyle w:val="p1"/>
        <w:numPr>
          <w:ilvl w:val="0"/>
          <w:numId w:val="10"/>
        </w:numPr>
        <w:rPr>
          <w:rFonts w:ascii="Inter" w:hAnsi="Inter"/>
          <w:sz w:val="22"/>
          <w:szCs w:val="22"/>
        </w:rPr>
      </w:pPr>
      <w:r w:rsidRPr="00052E0E">
        <w:rPr>
          <w:rFonts w:ascii="Inter" w:hAnsi="Inter"/>
          <w:sz w:val="22"/>
          <w:szCs w:val="22"/>
        </w:rPr>
        <w:t>Large LED wall used as a digital stage backdrop for impactful sessions.</w:t>
      </w:r>
    </w:p>
    <w:p w14:paraId="4F099FBB" w14:textId="77777777" w:rsidR="00052E0E" w:rsidRPr="00052E0E" w:rsidRDefault="00052E0E" w:rsidP="00052E0E">
      <w:pPr>
        <w:pStyle w:val="p1"/>
        <w:numPr>
          <w:ilvl w:val="0"/>
          <w:numId w:val="10"/>
        </w:numPr>
        <w:rPr>
          <w:rFonts w:ascii="Inter" w:hAnsi="Inter"/>
          <w:sz w:val="22"/>
          <w:szCs w:val="22"/>
        </w:rPr>
      </w:pPr>
      <w:r w:rsidRPr="00052E0E">
        <w:rPr>
          <w:rFonts w:ascii="Inter" w:hAnsi="Inter"/>
          <w:sz w:val="22"/>
          <w:szCs w:val="22"/>
        </w:rPr>
        <w:t xml:space="preserve">Consistent brand presence with MUFG </w:t>
      </w:r>
      <w:proofErr w:type="spellStart"/>
      <w:r w:rsidRPr="00052E0E">
        <w:rPr>
          <w:rFonts w:ascii="Inter" w:hAnsi="Inter"/>
          <w:sz w:val="22"/>
          <w:szCs w:val="22"/>
        </w:rPr>
        <w:t>colours</w:t>
      </w:r>
      <w:proofErr w:type="spellEnd"/>
      <w:r w:rsidRPr="00052E0E">
        <w:rPr>
          <w:rFonts w:ascii="Inter" w:hAnsi="Inter"/>
          <w:sz w:val="22"/>
          <w:szCs w:val="22"/>
        </w:rPr>
        <w:t xml:space="preserve"> carried across the ballroom setup.</w:t>
      </w:r>
    </w:p>
    <w:p w14:paraId="3F41B8CD" w14:textId="77777777" w:rsidR="00052E0E" w:rsidRPr="00052E0E" w:rsidRDefault="00052E0E" w:rsidP="00052E0E">
      <w:pPr>
        <w:pStyle w:val="p1"/>
        <w:numPr>
          <w:ilvl w:val="0"/>
          <w:numId w:val="10"/>
        </w:numPr>
        <w:rPr>
          <w:rFonts w:ascii="Inter" w:hAnsi="Inter"/>
          <w:sz w:val="22"/>
          <w:szCs w:val="22"/>
        </w:rPr>
      </w:pPr>
      <w:r w:rsidRPr="00052E0E">
        <w:rPr>
          <w:rFonts w:ascii="Inter" w:hAnsi="Inter"/>
          <w:sz w:val="22"/>
          <w:szCs w:val="22"/>
        </w:rPr>
        <w:t>Networking opportunities supported by thoughtful seating layouts.</w:t>
      </w:r>
    </w:p>
    <w:p w14:paraId="575B7194" w14:textId="77777777" w:rsidR="00052E0E" w:rsidRPr="00052E0E" w:rsidRDefault="00052E0E" w:rsidP="00052E0E">
      <w:pPr>
        <w:pStyle w:val="p1"/>
        <w:numPr>
          <w:ilvl w:val="0"/>
          <w:numId w:val="10"/>
        </w:numPr>
        <w:rPr>
          <w:rFonts w:ascii="Inter" w:hAnsi="Inter"/>
          <w:sz w:val="22"/>
          <w:szCs w:val="22"/>
        </w:rPr>
      </w:pPr>
      <w:r w:rsidRPr="00052E0E">
        <w:rPr>
          <w:rFonts w:ascii="Inter" w:hAnsi="Inter"/>
          <w:sz w:val="22"/>
          <w:szCs w:val="22"/>
        </w:rPr>
        <w:t>Premium setting at The Fullerton Hotel, complementing MUFG’s positioning.</w:t>
      </w:r>
    </w:p>
    <w:p w14:paraId="6A212430" w14:textId="77777777" w:rsidR="00052E0E" w:rsidRPr="00052E0E" w:rsidRDefault="00E8317B" w:rsidP="00052E0E">
      <w:pPr>
        <w:rPr>
          <w:rStyle w:val="s1"/>
          <w:rFonts w:ascii="Inter" w:hAnsi="Inter"/>
        </w:rPr>
      </w:pPr>
      <w:r>
        <w:rPr>
          <w:rStyle w:val="s1"/>
          <w:rFonts w:ascii="Inter" w:hAnsi="Inter"/>
          <w:noProof/>
        </w:rPr>
        <w:pict w14:anchorId="496DFE62">
          <v:rect id="_x0000_i1025" alt="" style="width:398.75pt;height:.05pt;mso-width-percent:0;mso-height-percent:0;mso-width-percent:0;mso-height-percent:0" o:hrpct="852" o:hralign="center" o:hrstd="t" o:hr="t" fillcolor="#a0a0a0" stroked="f"/>
        </w:pict>
      </w:r>
    </w:p>
    <w:p w14:paraId="14763515" w14:textId="77777777" w:rsidR="00052E0E" w:rsidRPr="00052E0E" w:rsidRDefault="00052E0E" w:rsidP="00052E0E">
      <w:pPr>
        <w:pStyle w:val="Heading3"/>
        <w:rPr>
          <w:rFonts w:ascii="Inter" w:hAnsi="Inter"/>
          <w:b w:val="0"/>
          <w:bCs w:val="0"/>
        </w:rPr>
      </w:pPr>
      <w:r w:rsidRPr="00052E0E">
        <w:rPr>
          <w:rFonts w:ascii="Inter" w:hAnsi="Inter"/>
          <w:b w:val="0"/>
          <w:bCs w:val="0"/>
        </w:rPr>
        <w:t>Results &amp; Impact</w:t>
      </w:r>
    </w:p>
    <w:p w14:paraId="2EADE4CE" w14:textId="77777777" w:rsidR="00052E0E" w:rsidRPr="00052E0E" w:rsidRDefault="00052E0E" w:rsidP="00052E0E">
      <w:pPr>
        <w:pStyle w:val="p3"/>
        <w:rPr>
          <w:rFonts w:ascii="Inter" w:hAnsi="Inter"/>
          <w:sz w:val="22"/>
          <w:szCs w:val="22"/>
        </w:rPr>
      </w:pPr>
      <w:r w:rsidRPr="00052E0E">
        <w:rPr>
          <w:rFonts w:ascii="Inter" w:hAnsi="Inter"/>
          <w:sz w:val="22"/>
          <w:szCs w:val="22"/>
        </w:rPr>
        <w:t xml:space="preserve">The forum gathered a high-level audience in a setting that was both professional and welcoming. The branding touchpoints ensured MUFG’s presence was clear from the moment guests entered, while the LED visuals and AV delivery supported strong engagement throughout the </w:t>
      </w:r>
      <w:proofErr w:type="spellStart"/>
      <w:r w:rsidRPr="00052E0E">
        <w:rPr>
          <w:rFonts w:ascii="Inter" w:hAnsi="Inter"/>
          <w:sz w:val="22"/>
          <w:szCs w:val="22"/>
        </w:rPr>
        <w:t>programme</w:t>
      </w:r>
      <w:proofErr w:type="spellEnd"/>
      <w:r w:rsidRPr="00052E0E">
        <w:rPr>
          <w:rFonts w:ascii="Inter" w:hAnsi="Inter"/>
          <w:sz w:val="22"/>
          <w:szCs w:val="22"/>
        </w:rPr>
        <w:t>. Attendees shared that the event felt polished and seamless, reflecting MUFG’s stature in the market.</w:t>
      </w:r>
    </w:p>
    <w:p w14:paraId="209E05BB" w14:textId="561B92DD" w:rsidR="00E06F6C" w:rsidRPr="00052E0E" w:rsidRDefault="00E06F6C" w:rsidP="00052E0E">
      <w:pPr>
        <w:rPr>
          <w:rFonts w:ascii="Inter" w:hAnsi="Inter"/>
        </w:rPr>
      </w:pPr>
    </w:p>
    <w:sectPr w:rsidR="00E06F6C" w:rsidRPr="00052E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9945FE"/>
    <w:multiLevelType w:val="multilevel"/>
    <w:tmpl w:val="C0D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205413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E0E"/>
    <w:rsid w:val="0006063C"/>
    <w:rsid w:val="0015074B"/>
    <w:rsid w:val="0029639D"/>
    <w:rsid w:val="00326F90"/>
    <w:rsid w:val="00544AE0"/>
    <w:rsid w:val="0094616C"/>
    <w:rsid w:val="00AA1D8D"/>
    <w:rsid w:val="00B47730"/>
    <w:rsid w:val="00CA4BA3"/>
    <w:rsid w:val="00CB0664"/>
    <w:rsid w:val="00E06F6C"/>
    <w:rsid w:val="00E8317B"/>
    <w:rsid w:val="00EE1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052E0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052E0E"/>
  </w:style>
  <w:style w:type="paragraph" w:customStyle="1" w:styleId="p2">
    <w:name w:val="p2"/>
    <w:basedOn w:val="Normal"/>
    <w:rsid w:val="00052E0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052E0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2">
    <w:name w:val="s2"/>
    <w:basedOn w:val="DefaultParagraphFont"/>
    <w:rsid w:val="00052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3</cp:revision>
  <dcterms:created xsi:type="dcterms:W3CDTF">2025-08-25T09:21:00Z</dcterms:created>
  <dcterms:modified xsi:type="dcterms:W3CDTF">2025-08-27T05:58:00Z</dcterms:modified>
  <cp:category/>
</cp:coreProperties>
</file>