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746915E0" w:rsidR="0094622C" w:rsidRPr="0033594C" w:rsidRDefault="0094622C" w:rsidP="0094622C">
      <w:pPr>
        <w:rPr>
          <w:rFonts w:ascii="Inter" w:hAnsi="Inter"/>
          <w:b/>
          <w:bCs/>
        </w:rPr>
      </w:pPr>
      <w:r w:rsidRPr="0033594C">
        <w:rPr>
          <w:rFonts w:ascii="Inter" w:hAnsi="Inter"/>
          <w:b/>
          <w:bCs/>
        </w:rPr>
        <w:t xml:space="preserve">Main Page: </w:t>
      </w:r>
      <w:r w:rsidRPr="0033594C">
        <w:rPr>
          <w:rFonts w:ascii="Inter" w:hAnsi="Inter"/>
          <w:b/>
          <w:bCs/>
        </w:rPr>
        <w:br/>
      </w:r>
      <w:proofErr w:type="spellStart"/>
      <w:r w:rsidR="0033594C" w:rsidRPr="0033594C">
        <w:rPr>
          <w:rFonts w:ascii="Inter" w:hAnsi="Inter"/>
          <w:b/>
          <w:bCs/>
        </w:rPr>
        <w:t>Govware</w:t>
      </w:r>
      <w:proofErr w:type="spellEnd"/>
      <w:r w:rsidR="0033594C" w:rsidRPr="0033594C">
        <w:rPr>
          <w:rFonts w:ascii="Inter" w:hAnsi="Inter"/>
          <w:b/>
          <w:bCs/>
        </w:rPr>
        <w:t xml:space="preserve"> 2024</w:t>
      </w:r>
      <w:r w:rsidRPr="0033594C">
        <w:rPr>
          <w:rFonts w:ascii="Inter" w:hAnsi="Inter"/>
          <w:b/>
          <w:bCs/>
        </w:rPr>
        <w:t xml:space="preserve"> </w:t>
      </w:r>
      <w:r w:rsidRPr="0033594C">
        <w:rPr>
          <w:rFonts w:ascii="Inter" w:hAnsi="Inter"/>
          <w:b/>
          <w:bCs/>
        </w:rPr>
        <w:br/>
        <w:t xml:space="preserve">Client | </w:t>
      </w:r>
      <w:r w:rsidR="0033594C" w:rsidRPr="0033594C">
        <w:rPr>
          <w:rFonts w:ascii="Inter" w:hAnsi="Inter"/>
          <w:b/>
          <w:bCs/>
        </w:rPr>
        <w:t>Proofpoint</w:t>
      </w:r>
      <w:r w:rsidRPr="0033594C">
        <w:rPr>
          <w:rFonts w:ascii="Inter" w:hAnsi="Inter"/>
          <w:b/>
          <w:bCs/>
        </w:rPr>
        <w:t xml:space="preserve"> </w:t>
      </w:r>
      <w:r w:rsidRPr="0033594C">
        <w:rPr>
          <w:rFonts w:ascii="Inter" w:hAnsi="Inter"/>
          <w:b/>
          <w:bCs/>
        </w:rPr>
        <w:br/>
        <w:t xml:space="preserve">Date | </w:t>
      </w:r>
      <w:r w:rsidR="0033594C" w:rsidRPr="0033594C">
        <w:rPr>
          <w:rFonts w:ascii="Inter" w:hAnsi="Inter"/>
          <w:b/>
          <w:bCs/>
        </w:rPr>
        <w:t>October 2024</w:t>
      </w:r>
      <w:r w:rsidRPr="0033594C">
        <w:rPr>
          <w:rFonts w:ascii="Inter" w:hAnsi="Inter"/>
          <w:b/>
          <w:bCs/>
        </w:rPr>
        <w:t xml:space="preserve"> </w:t>
      </w:r>
      <w:r w:rsidRPr="0033594C">
        <w:rPr>
          <w:rFonts w:ascii="Inter" w:hAnsi="Inter"/>
          <w:b/>
          <w:bCs/>
        </w:rPr>
        <w:br/>
        <w:t xml:space="preserve">Venue | </w:t>
      </w:r>
      <w:r w:rsidR="0033594C" w:rsidRPr="0033594C">
        <w:rPr>
          <w:rFonts w:ascii="Inter" w:hAnsi="Inter"/>
          <w:b/>
          <w:bCs/>
        </w:rPr>
        <w:t xml:space="preserve">Marina Bay Sands </w:t>
      </w:r>
      <w:r w:rsidRPr="0033594C">
        <w:rPr>
          <w:rFonts w:ascii="Inter" w:hAnsi="Inter"/>
          <w:b/>
          <w:bCs/>
        </w:rPr>
        <w:t xml:space="preserve"> </w:t>
      </w:r>
    </w:p>
    <w:p w14:paraId="4A137171" w14:textId="743FEC3D" w:rsidR="0033594C" w:rsidRPr="0033594C" w:rsidRDefault="0033594C" w:rsidP="0033594C">
      <w:pPr>
        <w:pStyle w:val="Heading2"/>
        <w:rPr>
          <w:rFonts w:ascii="Inter" w:hAnsi="Inter"/>
          <w:b w:val="0"/>
          <w:bCs w:val="0"/>
          <w:sz w:val="22"/>
          <w:szCs w:val="22"/>
        </w:rPr>
      </w:pPr>
      <w:r w:rsidRPr="0033594C">
        <w:rPr>
          <w:rFonts w:ascii="Inter" w:hAnsi="Inter"/>
          <w:b w:val="0"/>
          <w:bCs w:val="0"/>
          <w:sz w:val="22"/>
          <w:szCs w:val="22"/>
        </w:rPr>
        <w:t>Event Overview</w:t>
      </w:r>
    </w:p>
    <w:p w14:paraId="330281C5" w14:textId="26013731" w:rsidR="0033594C" w:rsidRPr="0033594C" w:rsidRDefault="0033594C" w:rsidP="0033594C">
      <w:pPr>
        <w:pStyle w:val="p3"/>
        <w:rPr>
          <w:rStyle w:val="s1"/>
          <w:rFonts w:ascii="Inter" w:hAnsi="Inter"/>
          <w:sz w:val="22"/>
          <w:szCs w:val="22"/>
        </w:rPr>
      </w:pPr>
      <w:r w:rsidRPr="0033594C">
        <w:rPr>
          <w:rFonts w:ascii="Inter" w:hAnsi="Inter"/>
          <w:sz w:val="22"/>
          <w:szCs w:val="22"/>
        </w:rPr>
        <w:t xml:space="preserve">At </w:t>
      </w:r>
      <w:proofErr w:type="spellStart"/>
      <w:r w:rsidRPr="0033594C">
        <w:rPr>
          <w:rFonts w:ascii="Inter" w:hAnsi="Inter"/>
          <w:sz w:val="22"/>
          <w:szCs w:val="22"/>
        </w:rPr>
        <w:t>GovWare</w:t>
      </w:r>
      <w:proofErr w:type="spellEnd"/>
      <w:r w:rsidRPr="0033594C">
        <w:rPr>
          <w:rFonts w:ascii="Inter" w:hAnsi="Inter"/>
          <w:sz w:val="22"/>
          <w:szCs w:val="22"/>
        </w:rPr>
        <w:t xml:space="preserve"> 2024, held at </w:t>
      </w:r>
      <w:r w:rsidRPr="0033594C">
        <w:rPr>
          <w:rStyle w:val="s2"/>
          <w:rFonts w:ascii="Inter" w:eastAsiaTheme="majorEastAsia" w:hAnsi="Inter"/>
          <w:sz w:val="22"/>
          <w:szCs w:val="22"/>
        </w:rPr>
        <w:t>Marina Bay Sands</w:t>
      </w:r>
      <w:r w:rsidRPr="0033594C">
        <w:rPr>
          <w:rFonts w:ascii="Inter" w:hAnsi="Inter"/>
          <w:sz w:val="22"/>
          <w:szCs w:val="22"/>
        </w:rPr>
        <w:t>, Proofpoint made a bold statement with a custom-built booth designed to highlight its leadership in cybersecurity. As one of the key players in the industry, Proofpoint sought not just to showcase its solutions, but also to create an engaging, welcoming space for networking and conversations.</w:t>
      </w:r>
    </w:p>
    <w:p w14:paraId="6620325C" w14:textId="17AF1D22" w:rsidR="0033594C" w:rsidRPr="0033594C" w:rsidRDefault="0033594C" w:rsidP="0033594C">
      <w:pPr>
        <w:pStyle w:val="Heading2"/>
        <w:rPr>
          <w:rFonts w:ascii="Inter" w:hAnsi="Inter"/>
          <w:b w:val="0"/>
          <w:bCs w:val="0"/>
          <w:sz w:val="22"/>
          <w:szCs w:val="22"/>
        </w:rPr>
      </w:pPr>
      <w:r w:rsidRPr="0033594C">
        <w:rPr>
          <w:rFonts w:ascii="Inter" w:hAnsi="Inter"/>
          <w:b w:val="0"/>
          <w:bCs w:val="0"/>
          <w:sz w:val="22"/>
          <w:szCs w:val="22"/>
        </w:rPr>
        <w:t>Our Approach</w:t>
      </w:r>
    </w:p>
    <w:p w14:paraId="2DF5E02D" w14:textId="33FD5C05" w:rsidR="0033594C" w:rsidRPr="0033594C" w:rsidRDefault="0033594C" w:rsidP="0033594C">
      <w:pPr>
        <w:pStyle w:val="p3"/>
        <w:rPr>
          <w:rFonts w:ascii="Inter" w:hAnsi="Inter"/>
          <w:sz w:val="22"/>
          <w:szCs w:val="22"/>
        </w:rPr>
      </w:pPr>
      <w:r w:rsidRPr="0033594C">
        <w:rPr>
          <w:rFonts w:ascii="Inter" w:hAnsi="Inter"/>
          <w:sz w:val="22"/>
          <w:szCs w:val="22"/>
        </w:rPr>
        <w:t xml:space="preserve">Compass Events partnered with Proofpoint to deliver a seamless </w:t>
      </w:r>
      <w:r w:rsidRPr="0033594C">
        <w:rPr>
          <w:rStyle w:val="s2"/>
          <w:rFonts w:ascii="Inter" w:eastAsiaTheme="majorEastAsia" w:hAnsi="Inter"/>
          <w:sz w:val="22"/>
          <w:szCs w:val="22"/>
        </w:rPr>
        <w:t>design-to-execution journey</w:t>
      </w:r>
      <w:r w:rsidRPr="0033594C">
        <w:rPr>
          <w:rFonts w:ascii="Inter" w:hAnsi="Inter"/>
          <w:sz w:val="22"/>
          <w:szCs w:val="22"/>
        </w:rPr>
        <w:t xml:space="preserve">. From </w:t>
      </w:r>
      <w:r w:rsidRPr="0033594C">
        <w:rPr>
          <w:rStyle w:val="s2"/>
          <w:rFonts w:ascii="Inter" w:eastAsiaTheme="majorEastAsia" w:hAnsi="Inter"/>
          <w:sz w:val="22"/>
          <w:szCs w:val="22"/>
        </w:rPr>
        <w:t>concept development</w:t>
      </w:r>
      <w:r w:rsidRPr="0033594C">
        <w:rPr>
          <w:rFonts w:ascii="Inter" w:hAnsi="Inter"/>
          <w:sz w:val="22"/>
          <w:szCs w:val="22"/>
        </w:rPr>
        <w:t xml:space="preserve"> to </w:t>
      </w:r>
      <w:r w:rsidRPr="0033594C">
        <w:rPr>
          <w:rStyle w:val="s2"/>
          <w:rFonts w:ascii="Inter" w:eastAsiaTheme="majorEastAsia" w:hAnsi="Inter"/>
          <w:sz w:val="22"/>
          <w:szCs w:val="22"/>
        </w:rPr>
        <w:t>booth production</w:t>
      </w:r>
      <w:r w:rsidRPr="0033594C">
        <w:rPr>
          <w:rFonts w:ascii="Inter" w:hAnsi="Inter"/>
          <w:sz w:val="22"/>
          <w:szCs w:val="22"/>
        </w:rPr>
        <w:t>, the focus was on building an environment that blended brand storytelling with hospitality.</w:t>
      </w:r>
    </w:p>
    <w:p w14:paraId="4CA5DEB6" w14:textId="77777777" w:rsidR="0033594C" w:rsidRPr="0033594C" w:rsidRDefault="0033594C" w:rsidP="0033594C">
      <w:pPr>
        <w:pStyle w:val="p3"/>
        <w:rPr>
          <w:rFonts w:ascii="Inter" w:hAnsi="Inter"/>
          <w:b/>
          <w:bCs/>
          <w:sz w:val="22"/>
          <w:szCs w:val="22"/>
        </w:rPr>
      </w:pPr>
      <w:r w:rsidRPr="0033594C">
        <w:rPr>
          <w:rFonts w:ascii="Inter" w:hAnsi="Inter"/>
          <w:b/>
          <w:bCs/>
          <w:sz w:val="22"/>
          <w:szCs w:val="22"/>
        </w:rPr>
        <w:t>Key considerations included:</w:t>
      </w:r>
    </w:p>
    <w:p w14:paraId="125DC715" w14:textId="77777777" w:rsidR="0033594C" w:rsidRPr="0033594C" w:rsidRDefault="0033594C" w:rsidP="0033594C">
      <w:pPr>
        <w:pStyle w:val="p1"/>
        <w:numPr>
          <w:ilvl w:val="0"/>
          <w:numId w:val="10"/>
        </w:numPr>
        <w:rPr>
          <w:rFonts w:ascii="Inter" w:hAnsi="Inter"/>
          <w:sz w:val="22"/>
          <w:szCs w:val="22"/>
        </w:rPr>
      </w:pPr>
      <w:r w:rsidRPr="0033594C">
        <w:rPr>
          <w:rStyle w:val="s1"/>
          <w:rFonts w:ascii="Inter" w:hAnsi="Inter"/>
          <w:sz w:val="22"/>
          <w:szCs w:val="22"/>
        </w:rPr>
        <w:t>Design &amp; Concept</w:t>
      </w:r>
      <w:r w:rsidRPr="0033594C">
        <w:rPr>
          <w:rFonts w:ascii="Inter" w:hAnsi="Inter"/>
          <w:sz w:val="22"/>
          <w:szCs w:val="22"/>
        </w:rPr>
        <w:t>: A modern, open booth structure that incorporated strong Proofpoint branding with lightbox panels, integrated greenery, and clean digital displays.</w:t>
      </w:r>
    </w:p>
    <w:p w14:paraId="32AB37BD" w14:textId="77777777" w:rsidR="0033594C" w:rsidRPr="0033594C" w:rsidRDefault="0033594C" w:rsidP="0033594C">
      <w:pPr>
        <w:pStyle w:val="p1"/>
        <w:numPr>
          <w:ilvl w:val="0"/>
          <w:numId w:val="10"/>
        </w:numPr>
        <w:rPr>
          <w:rFonts w:ascii="Inter" w:hAnsi="Inter"/>
          <w:sz w:val="22"/>
          <w:szCs w:val="22"/>
        </w:rPr>
      </w:pPr>
      <w:r w:rsidRPr="0033594C">
        <w:rPr>
          <w:rStyle w:val="s1"/>
          <w:rFonts w:ascii="Inter" w:hAnsi="Inter"/>
          <w:sz w:val="22"/>
          <w:szCs w:val="22"/>
        </w:rPr>
        <w:t>Booth Activities</w:t>
      </w:r>
      <w:r w:rsidRPr="0033594C">
        <w:rPr>
          <w:rFonts w:ascii="Inter" w:hAnsi="Inter"/>
          <w:sz w:val="22"/>
          <w:szCs w:val="22"/>
        </w:rPr>
        <w:t xml:space="preserve">: Instead of standalone F&amp;B counters, Compass designed the booth to seamlessly integrate </w:t>
      </w:r>
      <w:r w:rsidRPr="0033594C">
        <w:rPr>
          <w:rStyle w:val="s1"/>
          <w:rFonts w:ascii="Inter" w:hAnsi="Inter"/>
          <w:sz w:val="22"/>
          <w:szCs w:val="22"/>
        </w:rPr>
        <w:t>barista coffee service</w:t>
      </w:r>
      <w:r w:rsidRPr="0033594C">
        <w:rPr>
          <w:rFonts w:ascii="Inter" w:hAnsi="Inter"/>
          <w:sz w:val="22"/>
          <w:szCs w:val="22"/>
        </w:rPr>
        <w:t xml:space="preserve"> and </w:t>
      </w:r>
      <w:r w:rsidRPr="0033594C">
        <w:rPr>
          <w:rStyle w:val="s1"/>
          <w:rFonts w:ascii="Inter" w:hAnsi="Inter"/>
          <w:sz w:val="22"/>
          <w:szCs w:val="22"/>
        </w:rPr>
        <w:t>ice cream sandwich treats</w:t>
      </w:r>
      <w:r w:rsidRPr="0033594C">
        <w:rPr>
          <w:rFonts w:ascii="Inter" w:hAnsi="Inter"/>
          <w:sz w:val="22"/>
          <w:szCs w:val="22"/>
        </w:rPr>
        <w:t xml:space="preserve"> directly into the build. This allowed guest engagement to feel natural, while maintaining a cohesive design aesthetic.</w:t>
      </w:r>
    </w:p>
    <w:p w14:paraId="6D860F98" w14:textId="77777777" w:rsidR="0033594C" w:rsidRPr="0033594C" w:rsidRDefault="0033594C" w:rsidP="0033594C">
      <w:pPr>
        <w:pStyle w:val="p1"/>
        <w:numPr>
          <w:ilvl w:val="0"/>
          <w:numId w:val="10"/>
        </w:numPr>
        <w:rPr>
          <w:rFonts w:ascii="Inter" w:hAnsi="Inter"/>
          <w:sz w:val="22"/>
          <w:szCs w:val="22"/>
        </w:rPr>
      </w:pPr>
      <w:r w:rsidRPr="0033594C">
        <w:rPr>
          <w:rStyle w:val="s1"/>
          <w:rFonts w:ascii="Inter" w:hAnsi="Inter"/>
          <w:sz w:val="22"/>
          <w:szCs w:val="22"/>
        </w:rPr>
        <w:t>Production &amp; Build</w:t>
      </w:r>
      <w:r w:rsidRPr="0033594C">
        <w:rPr>
          <w:rFonts w:ascii="Inter" w:hAnsi="Inter"/>
          <w:sz w:val="22"/>
          <w:szCs w:val="22"/>
        </w:rPr>
        <w:t>: Every detail—from material selection to lighting edges—was managed and executed to reflect the client’s global standards.</w:t>
      </w:r>
    </w:p>
    <w:p w14:paraId="4B11346D" w14:textId="77777777" w:rsidR="0033594C" w:rsidRPr="0033594C" w:rsidRDefault="0046557E" w:rsidP="0033594C">
      <w:pPr>
        <w:rPr>
          <w:rStyle w:val="s1"/>
          <w:rFonts w:ascii="Inter" w:hAnsi="Inter"/>
        </w:rPr>
      </w:pPr>
      <w:r w:rsidRPr="0046557E">
        <w:rPr>
          <w:rStyle w:val="s1"/>
          <w:rFonts w:ascii="Inter" w:hAnsi="Inter"/>
          <w:noProof/>
        </w:rPr>
        <w:pict w14:anchorId="3F56A23F">
          <v:rect id="_x0000_i1026" alt="" style="width:431.95pt;height:.05pt;mso-width-percent:0;mso-height-percent:0;mso-width-percent:0;mso-height-percent:0" o:hrpct="923" o:hralign="center" o:hrstd="t" o:hr="t" fillcolor="#a0a0a0" stroked="f"/>
        </w:pict>
      </w:r>
    </w:p>
    <w:p w14:paraId="6E151D53" w14:textId="77777777" w:rsidR="0033594C" w:rsidRPr="0033594C" w:rsidRDefault="0033594C" w:rsidP="0033594C">
      <w:pPr>
        <w:pStyle w:val="Heading2"/>
        <w:rPr>
          <w:rFonts w:ascii="Inter" w:hAnsi="Inter"/>
          <w:b w:val="0"/>
          <w:bCs w:val="0"/>
          <w:sz w:val="22"/>
          <w:szCs w:val="22"/>
        </w:rPr>
      </w:pPr>
      <w:r w:rsidRPr="0033594C">
        <w:rPr>
          <w:rFonts w:ascii="Inter" w:hAnsi="Inter"/>
          <w:b w:val="0"/>
          <w:bCs w:val="0"/>
          <w:sz w:val="22"/>
          <w:szCs w:val="22"/>
        </w:rPr>
        <w:t>Key Highlights</w:t>
      </w:r>
    </w:p>
    <w:p w14:paraId="3B12F04A" w14:textId="77777777" w:rsidR="0033594C" w:rsidRPr="0033594C" w:rsidRDefault="0033594C" w:rsidP="0033594C">
      <w:pPr>
        <w:pStyle w:val="p1"/>
        <w:numPr>
          <w:ilvl w:val="0"/>
          <w:numId w:val="11"/>
        </w:numPr>
        <w:rPr>
          <w:rFonts w:ascii="Inter" w:hAnsi="Inter"/>
          <w:sz w:val="22"/>
          <w:szCs w:val="22"/>
        </w:rPr>
      </w:pPr>
      <w:r w:rsidRPr="0033594C">
        <w:rPr>
          <w:rStyle w:val="s1"/>
          <w:rFonts w:ascii="Inter" w:hAnsi="Inter"/>
          <w:sz w:val="22"/>
          <w:szCs w:val="22"/>
        </w:rPr>
        <w:t>Immersive Brand Space</w:t>
      </w:r>
      <w:r w:rsidRPr="0033594C">
        <w:rPr>
          <w:rFonts w:ascii="Inter" w:hAnsi="Inter"/>
          <w:sz w:val="22"/>
          <w:szCs w:val="22"/>
        </w:rPr>
        <w:t>: A visually striking booth anchored by illuminated Proofpoint branding and digital content walls.</w:t>
      </w:r>
    </w:p>
    <w:p w14:paraId="60991961" w14:textId="77777777" w:rsidR="0033594C" w:rsidRPr="0033594C" w:rsidRDefault="0033594C" w:rsidP="0033594C">
      <w:pPr>
        <w:pStyle w:val="p1"/>
        <w:numPr>
          <w:ilvl w:val="0"/>
          <w:numId w:val="11"/>
        </w:numPr>
        <w:rPr>
          <w:rFonts w:ascii="Inter" w:hAnsi="Inter"/>
          <w:sz w:val="22"/>
          <w:szCs w:val="22"/>
        </w:rPr>
      </w:pPr>
      <w:r w:rsidRPr="0033594C">
        <w:rPr>
          <w:rStyle w:val="s1"/>
          <w:rFonts w:ascii="Inter" w:hAnsi="Inter"/>
          <w:sz w:val="22"/>
          <w:szCs w:val="22"/>
        </w:rPr>
        <w:t>Integrated Guest Experience</w:t>
      </w:r>
      <w:r w:rsidRPr="0033594C">
        <w:rPr>
          <w:rFonts w:ascii="Inter" w:hAnsi="Inter"/>
          <w:sz w:val="22"/>
          <w:szCs w:val="22"/>
        </w:rPr>
        <w:t xml:space="preserve">: Coffee and ice cream offerings served as subtle but effective </w:t>
      </w:r>
      <w:proofErr w:type="gramStart"/>
      <w:r w:rsidRPr="0033594C">
        <w:rPr>
          <w:rFonts w:ascii="Inter" w:hAnsi="Inter"/>
          <w:sz w:val="22"/>
          <w:szCs w:val="22"/>
        </w:rPr>
        <w:t>ice-breakers</w:t>
      </w:r>
      <w:proofErr w:type="gramEnd"/>
      <w:r w:rsidRPr="0033594C">
        <w:rPr>
          <w:rFonts w:ascii="Inter" w:hAnsi="Inter"/>
          <w:sz w:val="22"/>
          <w:szCs w:val="22"/>
        </w:rPr>
        <w:t>, positioned as part of the booth design rather than add-ons.</w:t>
      </w:r>
    </w:p>
    <w:p w14:paraId="6C6F778D" w14:textId="77777777" w:rsidR="0033594C" w:rsidRPr="0033594C" w:rsidRDefault="0033594C" w:rsidP="0033594C">
      <w:pPr>
        <w:pStyle w:val="p1"/>
        <w:numPr>
          <w:ilvl w:val="0"/>
          <w:numId w:val="11"/>
        </w:numPr>
        <w:rPr>
          <w:rFonts w:ascii="Inter" w:hAnsi="Inter"/>
          <w:sz w:val="22"/>
          <w:szCs w:val="22"/>
        </w:rPr>
      </w:pPr>
      <w:r w:rsidRPr="0033594C">
        <w:rPr>
          <w:rStyle w:val="s1"/>
          <w:rFonts w:ascii="Inter" w:hAnsi="Inter"/>
          <w:sz w:val="22"/>
          <w:szCs w:val="22"/>
        </w:rPr>
        <w:t>Comfortable Engagement Areas</w:t>
      </w:r>
      <w:r w:rsidRPr="0033594C">
        <w:rPr>
          <w:rFonts w:ascii="Inter" w:hAnsi="Inter"/>
          <w:sz w:val="22"/>
          <w:szCs w:val="22"/>
        </w:rPr>
        <w:t>: Built-in seating and counters encouraged longer conversations with guests.</w:t>
      </w:r>
    </w:p>
    <w:p w14:paraId="0B4A49D9" w14:textId="77777777" w:rsidR="0033594C" w:rsidRPr="0033594C" w:rsidRDefault="0033594C" w:rsidP="0033594C">
      <w:pPr>
        <w:pStyle w:val="p1"/>
        <w:numPr>
          <w:ilvl w:val="0"/>
          <w:numId w:val="11"/>
        </w:numPr>
        <w:rPr>
          <w:rFonts w:ascii="Inter" w:hAnsi="Inter"/>
          <w:sz w:val="22"/>
          <w:szCs w:val="22"/>
        </w:rPr>
      </w:pPr>
      <w:r w:rsidRPr="0033594C">
        <w:rPr>
          <w:rStyle w:val="s1"/>
          <w:rFonts w:ascii="Inter" w:hAnsi="Inter"/>
          <w:sz w:val="22"/>
          <w:szCs w:val="22"/>
        </w:rPr>
        <w:t>Attention to Detail</w:t>
      </w:r>
      <w:r w:rsidRPr="0033594C">
        <w:rPr>
          <w:rFonts w:ascii="Inter" w:hAnsi="Inter"/>
          <w:sz w:val="22"/>
          <w:szCs w:val="22"/>
        </w:rPr>
        <w:t>: From custom lighted edges to sleek finishes, every design choice was made to enhance Proofpoint’s professional image.</w:t>
      </w:r>
    </w:p>
    <w:p w14:paraId="3BFFB36B" w14:textId="77777777" w:rsidR="0033594C" w:rsidRPr="0033594C" w:rsidRDefault="0046557E" w:rsidP="0033594C">
      <w:pPr>
        <w:rPr>
          <w:rStyle w:val="s1"/>
          <w:rFonts w:ascii="Inter" w:hAnsi="Inter"/>
        </w:rPr>
      </w:pPr>
      <w:r w:rsidRPr="0046557E">
        <w:rPr>
          <w:rStyle w:val="s1"/>
          <w:rFonts w:ascii="Inter" w:hAnsi="Inter"/>
          <w:noProof/>
        </w:rPr>
        <w:pict w14:anchorId="799B1EE1">
          <v:rect id="_x0000_i1025" alt="" style="width:431.95pt;height:.05pt;mso-width-percent:0;mso-height-percent:0;mso-width-percent:0;mso-height-percent:0" o:hrpct="923" o:hralign="center" o:hrstd="t" o:hr="t" fillcolor="#a0a0a0" stroked="f"/>
        </w:pict>
      </w:r>
    </w:p>
    <w:p w14:paraId="5B92E271" w14:textId="77777777" w:rsidR="0033594C" w:rsidRPr="0033594C" w:rsidRDefault="0033594C" w:rsidP="0033594C">
      <w:pPr>
        <w:pStyle w:val="Heading2"/>
        <w:rPr>
          <w:rFonts w:ascii="Inter" w:hAnsi="Inter"/>
          <w:b w:val="0"/>
          <w:bCs w:val="0"/>
          <w:sz w:val="22"/>
          <w:szCs w:val="22"/>
        </w:rPr>
      </w:pPr>
      <w:r w:rsidRPr="0033594C">
        <w:rPr>
          <w:rFonts w:ascii="Inter" w:hAnsi="Inter"/>
          <w:b w:val="0"/>
          <w:bCs w:val="0"/>
          <w:sz w:val="22"/>
          <w:szCs w:val="22"/>
        </w:rPr>
        <w:lastRenderedPageBreak/>
        <w:t>Results &amp; Impact</w:t>
      </w:r>
    </w:p>
    <w:p w14:paraId="2D05E956" w14:textId="77777777" w:rsidR="0033594C" w:rsidRPr="0033594C" w:rsidRDefault="0033594C" w:rsidP="0033594C">
      <w:pPr>
        <w:pStyle w:val="p2"/>
        <w:rPr>
          <w:rFonts w:ascii="Inter" w:hAnsi="Inter"/>
          <w:sz w:val="22"/>
          <w:szCs w:val="22"/>
        </w:rPr>
      </w:pPr>
    </w:p>
    <w:p w14:paraId="4FB9987C" w14:textId="097747CD" w:rsidR="0033594C" w:rsidRPr="0033594C" w:rsidRDefault="0033594C" w:rsidP="0033594C">
      <w:pPr>
        <w:pStyle w:val="p3"/>
        <w:rPr>
          <w:rFonts w:ascii="Inter" w:hAnsi="Inter"/>
          <w:sz w:val="22"/>
          <w:szCs w:val="22"/>
        </w:rPr>
      </w:pPr>
      <w:r w:rsidRPr="0033594C">
        <w:rPr>
          <w:rFonts w:ascii="Inter" w:hAnsi="Inter"/>
          <w:sz w:val="22"/>
          <w:szCs w:val="22"/>
        </w:rPr>
        <w:t xml:space="preserve">Proofpoint’s presence at </w:t>
      </w:r>
      <w:proofErr w:type="spellStart"/>
      <w:r w:rsidRPr="0033594C">
        <w:rPr>
          <w:rFonts w:ascii="Inter" w:hAnsi="Inter"/>
          <w:sz w:val="22"/>
          <w:szCs w:val="22"/>
        </w:rPr>
        <w:t>GovWare</w:t>
      </w:r>
      <w:proofErr w:type="spellEnd"/>
      <w:r w:rsidRPr="0033594C">
        <w:rPr>
          <w:rFonts w:ascii="Inter" w:hAnsi="Inter"/>
          <w:sz w:val="22"/>
          <w:szCs w:val="22"/>
        </w:rPr>
        <w:t xml:space="preserve"> 2024 stood out as both </w:t>
      </w:r>
      <w:r w:rsidRPr="0033594C">
        <w:rPr>
          <w:rStyle w:val="s2"/>
          <w:rFonts w:ascii="Inter" w:eastAsiaTheme="majorEastAsia" w:hAnsi="Inter"/>
          <w:sz w:val="22"/>
          <w:szCs w:val="22"/>
        </w:rPr>
        <w:t xml:space="preserve">strategic and </w:t>
      </w:r>
      <w:r>
        <w:rPr>
          <w:rStyle w:val="s2"/>
          <w:rFonts w:ascii="Inter" w:eastAsiaTheme="majorEastAsia" w:hAnsi="Inter"/>
          <w:sz w:val="22"/>
          <w:szCs w:val="22"/>
        </w:rPr>
        <w:t>impressionable</w:t>
      </w:r>
      <w:r w:rsidRPr="0033594C">
        <w:rPr>
          <w:rFonts w:ascii="Inter" w:hAnsi="Inter"/>
          <w:sz w:val="22"/>
          <w:szCs w:val="22"/>
        </w:rPr>
        <w:t>. The integrated hospitality concept drew a consistent flow of visitors, while the polished design reinforced the brand’s identity as a trusted cybersecurity partner.</w:t>
      </w:r>
    </w:p>
    <w:p w14:paraId="1E1BBB7E" w14:textId="77777777" w:rsidR="0033594C" w:rsidRPr="0033594C" w:rsidRDefault="0033594C" w:rsidP="0033594C">
      <w:pPr>
        <w:pStyle w:val="p3"/>
        <w:rPr>
          <w:rFonts w:ascii="Inter" w:hAnsi="Inter"/>
          <w:sz w:val="22"/>
          <w:szCs w:val="22"/>
        </w:rPr>
      </w:pPr>
      <w:r w:rsidRPr="0033594C">
        <w:rPr>
          <w:rFonts w:ascii="Inter" w:hAnsi="Inter"/>
          <w:sz w:val="22"/>
          <w:szCs w:val="22"/>
        </w:rPr>
        <w:t>By blending technology showcase with thoughtful human touches, the booth not only captured attention but also deepened engagement, ensuring Proofpoint left a lasting impression at Asia’s premier cybersecurity event.</w:t>
      </w:r>
    </w:p>
    <w:p w14:paraId="209E05BB" w14:textId="7E7917AD" w:rsidR="00E06F6C" w:rsidRPr="0033594C" w:rsidRDefault="00E06F6C">
      <w:pPr>
        <w:rPr>
          <w:rFonts w:ascii="Inter" w:hAnsi="Inter"/>
        </w:rPr>
      </w:pPr>
    </w:p>
    <w:sectPr w:rsidR="00E06F6C" w:rsidRPr="003359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9F04C4"/>
    <w:multiLevelType w:val="multilevel"/>
    <w:tmpl w:val="F8D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A156F"/>
    <w:multiLevelType w:val="multilevel"/>
    <w:tmpl w:val="E26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99392459">
    <w:abstractNumId w:val="10"/>
  </w:num>
  <w:num w:numId="11" w16cid:durableId="601758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94C"/>
    <w:rsid w:val="0046557E"/>
    <w:rsid w:val="00544AE0"/>
    <w:rsid w:val="0094616C"/>
    <w:rsid w:val="0094622C"/>
    <w:rsid w:val="00AA1D8D"/>
    <w:rsid w:val="00B47730"/>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33594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33594C"/>
  </w:style>
  <w:style w:type="paragraph" w:customStyle="1" w:styleId="p2">
    <w:name w:val="p2"/>
    <w:basedOn w:val="Normal"/>
    <w:rsid w:val="0033594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33594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2">
    <w:name w:val="s2"/>
    <w:basedOn w:val="DefaultParagraphFont"/>
    <w:rsid w:val="00335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4</cp:revision>
  <dcterms:created xsi:type="dcterms:W3CDTF">2025-08-25T08:21:00Z</dcterms:created>
  <dcterms:modified xsi:type="dcterms:W3CDTF">2025-08-27T06:04:00Z</dcterms:modified>
  <cp:category/>
</cp:coreProperties>
</file>