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3644D1" w:rsidRDefault="003644D1" w:rsidP="00AE2F97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482C2C" w:rsidRDefault="00482C2C" w:rsidP="00CA0003">
      <w:pPr>
        <w:pStyle w:val="Heading3"/>
      </w:pPr>
      <w:r>
        <w:t>Business use cases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432736" w:rsidP="00432736">
      <w:pPr>
        <w:pStyle w:val="ListParagraph"/>
        <w:numPr>
          <w:ilvl w:val="0"/>
          <w:numId w:val="27"/>
        </w:numPr>
      </w:pP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AF067A" w:rsidP="00AF067A">
      <w:pPr>
        <w:pStyle w:val="ListParagraph"/>
        <w:numPr>
          <w:ilvl w:val="0"/>
          <w:numId w:val="27"/>
        </w:numPr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832979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0C0060" w:rsidRPr="000C0060" w:rsidRDefault="000C0060" w:rsidP="00751612">
      <w:pPr>
        <w:pStyle w:val="ListParagraph"/>
        <w:numPr>
          <w:ilvl w:val="0"/>
          <w:numId w:val="27"/>
        </w:numPr>
      </w:pP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</w:p>
    <w:p w:rsidR="00453B22" w:rsidRDefault="00453B22" w:rsidP="00453B22">
      <w:pPr>
        <w:pStyle w:val="Heading4"/>
      </w:pPr>
      <w:r>
        <w:t>Value to sponsor (goal)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Course of Events</w:t>
      </w:r>
    </w:p>
    <w:p w:rsidR="00453B22" w:rsidRDefault="00453B22" w:rsidP="00453B22">
      <w:pPr>
        <w:pStyle w:val="ListParagraph"/>
        <w:numPr>
          <w:ilvl w:val="0"/>
          <w:numId w:val="28"/>
        </w:numPr>
      </w:pP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C65BB8" w:rsidRPr="000D1003" w:rsidRDefault="00C65BB8" w:rsidP="00C65BB8">
      <w:pPr>
        <w:pStyle w:val="ListParagraph"/>
        <w:numPr>
          <w:ilvl w:val="0"/>
          <w:numId w:val="27"/>
        </w:numPr>
        <w:rPr>
          <w:b/>
          <w:bCs/>
        </w:r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</w:p>
    <w:p w:rsidR="004B2C76" w:rsidRDefault="004B2C76" w:rsidP="004B2C76">
      <w:pPr>
        <w:pStyle w:val="Heading2"/>
      </w:pPr>
      <w:r>
        <w:t>Reports</w:t>
      </w:r>
      <w:r>
        <w:t xml:space="preserve"> (separate file)</w:t>
      </w:r>
    </w:p>
    <w:p w:rsidR="004B2C76" w:rsidRPr="002E4D2A" w:rsidRDefault="004B2C76" w:rsidP="004B2C76">
      <w:pPr>
        <w:rPr>
          <w:b/>
          <w:bCs/>
        </w:rPr>
      </w:pPr>
      <w:r>
        <w:t>R</w:t>
      </w:r>
      <w:r>
        <w:t xml:space="preserve">#1 - </w:t>
      </w:r>
      <w:bookmarkStart w:id="0" w:name="_GoBack"/>
      <w:bookmarkEnd w:id="0"/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12B" w:rsidRDefault="00CC512B" w:rsidP="00B003AC">
      <w:pPr>
        <w:spacing w:line="240" w:lineRule="auto"/>
      </w:pPr>
      <w:r>
        <w:separator/>
      </w:r>
    </w:p>
  </w:endnote>
  <w:endnote w:type="continuationSeparator" w:id="0">
    <w:p w:rsidR="00CC512B" w:rsidRDefault="00CC512B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12B" w:rsidRDefault="00CC512B" w:rsidP="00B003AC">
      <w:pPr>
        <w:spacing w:line="240" w:lineRule="auto"/>
      </w:pPr>
      <w:r>
        <w:separator/>
      </w:r>
    </w:p>
  </w:footnote>
  <w:footnote w:type="continuationSeparator" w:id="0">
    <w:p w:rsidR="00CC512B" w:rsidRDefault="00CC512B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FA6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313D3-75A2-4A3E-BCF6-F90E683A3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6</cp:revision>
  <dcterms:created xsi:type="dcterms:W3CDTF">2016-09-01T17:44:00Z</dcterms:created>
  <dcterms:modified xsi:type="dcterms:W3CDTF">2017-06-16T19:09:00Z</dcterms:modified>
</cp:coreProperties>
</file>