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r w:rsidR="00451EB7" w:rsidRPr="00451EB7">
              <w:rPr>
                <w:rFonts w:ascii="Constantia" w:hAnsi="Constantia"/>
                <w:lang w:val="en-CA"/>
              </w:rPr>
              <w:t>Æ</w:t>
            </w:r>
            <w:r w:rsidR="00451EB7">
              <w:rPr>
                <w:rFonts w:ascii="Constantia" w:hAnsi="Constantia"/>
                <w:lang w:val="en-CA"/>
              </w:rPr>
              <w:t>leanian</w:t>
            </w:r>
            <w:r w:rsidR="00F90908">
              <w:rPr>
                <w:rFonts w:ascii="Constantia" w:hAnsi="Constantia"/>
                <w:lang w:val="en-CA"/>
              </w:rPr>
              <w:t xml:space="preserve"> language </w:t>
            </w:r>
            <w:r w:rsidR="00F90908">
              <w:rPr>
                <w:rFonts w:ascii="Constantia" w:hAnsi="Constantia"/>
                <w:lang w:val="en-CA"/>
              </w:rPr>
              <w:lastRenderedPageBreak/>
              <w:t>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To pass, one must reach 50% in 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40AE"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CD40AE" w:rsidRPr="00764C1D" w:rsidRDefault="00CD40AE" w:rsidP="00CD7599">
            <w:pPr>
              <w:rPr>
                <w:rFonts w:ascii="Constantia" w:hAnsi="Constantia"/>
                <w:lang w:val="en-CA"/>
              </w:rPr>
            </w:pPr>
            <w:r>
              <w:rPr>
                <w:rFonts w:ascii="Constantia" w:hAnsi="Constantia"/>
                <w:lang w:val="en-CA"/>
              </w:rPr>
              <w:t>Adult Education</w:t>
            </w:r>
          </w:p>
        </w:tc>
        <w:tc>
          <w:tcPr>
            <w:tcW w:w="3005" w:type="dxa"/>
          </w:tcPr>
          <w:p w14:paraId="3A835E68" w14:textId="4019CB33"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w:t>
            </w:r>
            <w:r w:rsidR="009A3B28">
              <w:rPr>
                <w:rFonts w:ascii="Constantia" w:hAnsi="Constantia"/>
                <w:lang w:val="en-CA"/>
              </w:rPr>
              <w:t xml:space="preserve">education to the standards of </w:t>
            </w:r>
            <w:r w:rsidR="009A3B28" w:rsidRPr="009A3B28">
              <w:rPr>
                <w:rFonts w:ascii="Constantia" w:hAnsi="Constantia"/>
                <w:lang w:val="en-CA"/>
              </w:rPr>
              <w:t>Æ</w:t>
            </w:r>
            <w:r w:rsidR="009A3B28">
              <w:rPr>
                <w:rFonts w:ascii="Constantia" w:hAnsi="Constantia"/>
                <w:lang w:val="en-CA"/>
              </w:rPr>
              <w:t>leania</w:t>
            </w:r>
            <w:r w:rsidR="009307EC">
              <w:rPr>
                <w:rFonts w:ascii="Constantia" w:hAnsi="Constantia"/>
                <w:lang w:val="en-CA"/>
              </w:rPr>
              <w:t xml:space="preserve"> can enroll in a fully funded and go</w:t>
            </w:r>
            <w:r w:rsidR="006C4D5F">
              <w:rPr>
                <w:rFonts w:ascii="Constantia" w:hAnsi="Constantia"/>
                <w:lang w:val="en-CA"/>
              </w:rPr>
              <w:t>vernment run program to teach them what they missed.</w:t>
            </w: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Home language is studied in all of primary and secondary, foreign language classes, typically Mardwellian or Holtanian</w:t>
            </w:r>
            <w:r>
              <w:rPr>
                <w:rFonts w:ascii="Constantia" w:hAnsi="Constantia"/>
                <w:lang w:val="en-CA"/>
              </w:rPr>
              <w:t>, are studied in primary and 3 yrs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0883FCB2"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-regulated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yrs,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w:t>
            </w:r>
            <w:r w:rsidRPr="00764C1D">
              <w:rPr>
                <w:rFonts w:ascii="Constantia" w:hAnsi="Constantia"/>
                <w:lang w:val="en-CA"/>
              </w:rPr>
              <w:lastRenderedPageBreak/>
              <w:t>degrees and college for more practical degrees, non-compulsory, publicly funded, 1-7 yr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and militarized with Kunadoslad</w:t>
            </w:r>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Mardwell: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w:t>
            </w:r>
            <w:r>
              <w:rPr>
                <w:rFonts w:ascii="Constantia" w:hAnsi="Constantia"/>
                <w:lang w:val="en-CA"/>
              </w:rPr>
              <w:lastRenderedPageBreak/>
              <w:t>so long as the religious organizations offer the ability for non-religious people to get married. Marriages still have to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lastRenderedPageBreak/>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lastRenderedPageBreak/>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CF54F8"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CF54F8" w:rsidRPr="00764C1D" w:rsidRDefault="00CF54F8" w:rsidP="00CD7599">
            <w:pPr>
              <w:rPr>
                <w:rFonts w:ascii="Constantia" w:hAnsi="Constantia"/>
                <w:lang w:val="en-CA"/>
              </w:rPr>
            </w:pPr>
            <w:r>
              <w:rPr>
                <w:rFonts w:ascii="Constantia" w:hAnsi="Constantia"/>
                <w:lang w:val="en-CA"/>
              </w:rPr>
              <w:t>Public Transport</w:t>
            </w:r>
          </w:p>
        </w:tc>
        <w:tc>
          <w:tcPr>
            <w:tcW w:w="3005" w:type="dxa"/>
          </w:tcPr>
          <w:p w14:paraId="368A8DF4" w14:textId="77777777" w:rsidR="00CF54F8" w:rsidRPr="00764C1D" w:rsidRDefault="00CF54F8"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CF54F8" w:rsidRPr="00764C1D" w:rsidRDefault="00CF54F8"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947D5F" w:rsidRPr="00764C1D" w:rsidRDefault="001873C4" w:rsidP="00CD7599">
            <w:pPr>
              <w:rPr>
                <w:rFonts w:ascii="Constantia" w:hAnsi="Constantia"/>
                <w:lang w:val="en-CA"/>
              </w:rPr>
            </w:pPr>
            <w:r>
              <w:rPr>
                <w:rFonts w:ascii="Constantia" w:hAnsi="Constantia"/>
                <w:lang w:val="en-CA"/>
              </w:rPr>
              <w:t>Anti-Corruption Agency</w:t>
            </w:r>
          </w:p>
        </w:tc>
        <w:tc>
          <w:tcPr>
            <w:tcW w:w="3005" w:type="dxa"/>
          </w:tcPr>
          <w:p w14:paraId="2B42E28D" w14:textId="77777777" w:rsidR="00947D5F" w:rsidRPr="00764C1D" w:rsidRDefault="00947D5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947D5F" w:rsidRPr="00764C1D" w:rsidRDefault="00947D5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207F6"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3207F6" w:rsidRDefault="003207F6" w:rsidP="00CD7599">
            <w:pPr>
              <w:rPr>
                <w:rFonts w:ascii="Constantia" w:hAnsi="Constantia"/>
                <w:lang w:val="en-CA"/>
              </w:rPr>
            </w:pPr>
            <w:r>
              <w:rPr>
                <w:rFonts w:ascii="Constantia" w:hAnsi="Constantia"/>
                <w:lang w:val="en-CA"/>
              </w:rPr>
              <w:t>Consumer Rights</w:t>
            </w:r>
          </w:p>
        </w:tc>
        <w:tc>
          <w:tcPr>
            <w:tcW w:w="3005" w:type="dxa"/>
          </w:tcPr>
          <w:p w14:paraId="55F9CEAA" w14:textId="77777777" w:rsidR="003207F6" w:rsidRDefault="003207F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3207F6" w:rsidRDefault="003207F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24D9B25" w:rsidR="00556D85" w:rsidRPr="00764C1D" w:rsidRDefault="00CD40AE">
      <w:pPr>
        <w:rPr>
          <w:rFonts w:ascii="Constantia" w:hAnsi="Constantia"/>
          <w:lang w:val="en-CA"/>
        </w:rPr>
      </w:pPr>
      <w:r>
        <w:rPr>
          <w:rFonts w:ascii="Constantia" w:hAnsi="Constantia"/>
          <w:sz w:val="28"/>
          <w:szCs w:val="24"/>
          <w:lang w:val="en-CA"/>
        </w:rPr>
        <w:t>Spending Measures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lastRenderedPageBreak/>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permanent residents, and parents of citizens with children, enough to cover basic food and clothing costs for every child, distributed monthly (starts with two children). </w:t>
            </w:r>
            <w:r>
              <w:rPr>
                <w:rFonts w:ascii="Constantia" w:hAnsi="Constantia"/>
                <w:lang w:val="en-CA"/>
              </w:rPr>
              <w:t>One-time</w:t>
            </w:r>
            <w:r>
              <w:rPr>
                <w:rFonts w:ascii="Constantia" w:hAnsi="Constantia"/>
                <w:lang w:val="en-CA"/>
              </w:rPr>
              <w:t xml:space="preserv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C529D"/>
    <w:rsid w:val="00EE42AC"/>
    <w:rsid w:val="00EE57D9"/>
    <w:rsid w:val="00EF4B6D"/>
    <w:rsid w:val="00EF7E91"/>
    <w:rsid w:val="00F02A91"/>
    <w:rsid w:val="00F0374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10</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347</cp:revision>
  <dcterms:created xsi:type="dcterms:W3CDTF">2022-05-07T19:18:00Z</dcterms:created>
  <dcterms:modified xsi:type="dcterms:W3CDTF">2022-10-06T20:22:00Z</dcterms:modified>
</cp:coreProperties>
</file>