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64D27" w14:textId="77777777" w:rsidR="001A6BE9" w:rsidRDefault="00000000">
      <w:pPr>
        <w:pStyle w:val="Heading1"/>
      </w:pPr>
      <w:r>
        <w:rPr>
          <w:rFonts w:ascii="Times New Roman" w:hAnsi="Times New Roman"/>
        </w:rPr>
        <w:t>Energy Transition by Carrier Results</w:t>
      </w:r>
    </w:p>
    <w:p w14:paraId="701A883D" w14:textId="42DC775A" w:rsidR="001A6BE9" w:rsidRDefault="00000000">
      <w:pPr>
        <w:spacing w:line="360" w:lineRule="auto"/>
        <w:jc w:val="both"/>
      </w:pPr>
      <w:r>
        <w:rPr>
          <w:rFonts w:ascii="Times New Roman" w:hAnsi="Times New Roman"/>
          <w:sz w:val="24"/>
        </w:rPr>
        <w:t xml:space="preserve">Our soft-linked model reveals profound energy carrier transitions under escalating carbon pricing regimes in Italy. </w:t>
      </w:r>
      <w:r w:rsidR="000378AA">
        <w:rPr>
          <w:rFonts w:ascii="Times New Roman" w:hAnsi="Times New Roman"/>
          <w:sz w:val="24"/>
        </w:rPr>
        <w:t xml:space="preserve">While </w:t>
      </w:r>
      <w:r>
        <w:rPr>
          <w:rFonts w:ascii="Times New Roman" w:hAnsi="Times New Roman"/>
          <w:sz w:val="24"/>
        </w:rPr>
        <w:t>gas accounts for 57% and electricity</w:t>
      </w:r>
      <w:r w:rsidR="001021C3">
        <w:rPr>
          <w:rFonts w:ascii="Times New Roman" w:hAnsi="Times New Roman"/>
          <w:sz w:val="24"/>
        </w:rPr>
        <w:t xml:space="preserve"> (renewables)</w:t>
      </w:r>
      <w:r>
        <w:rPr>
          <w:rFonts w:ascii="Times New Roman" w:hAnsi="Times New Roman"/>
          <w:sz w:val="24"/>
        </w:rPr>
        <w:t xml:space="preserve"> 29% of the energy mix (IEA, 2023).</w:t>
      </w:r>
      <w:r w:rsidR="004A4539">
        <w:rPr>
          <w:rFonts w:ascii="Times New Roman" w:hAnsi="Times New Roman"/>
          <w:sz w:val="24"/>
        </w:rPr>
        <w:t xml:space="preserve"> </w:t>
      </w:r>
      <w:r w:rsidR="00473F95">
        <w:rPr>
          <w:rFonts w:ascii="Times New Roman" w:hAnsi="Times New Roman"/>
          <w:sz w:val="24"/>
        </w:rPr>
        <w:t>The</w:t>
      </w:r>
      <w:r>
        <w:rPr>
          <w:rFonts w:ascii="Times New Roman" w:hAnsi="Times New Roman"/>
          <w:sz w:val="24"/>
        </w:rPr>
        <w:t xml:space="preserve"> baseline trajectory reflects Italy's historical reliance on natural gas imports and moderate electrification rates in industrial processes. The ETS1 policy</w:t>
      </w:r>
      <w:r w:rsidR="00252569">
        <w:rPr>
          <w:rFonts w:ascii="Times New Roman" w:hAnsi="Times New Roman"/>
          <w:sz w:val="24"/>
        </w:rPr>
        <w:t xml:space="preserve"> </w:t>
      </w:r>
      <w:r>
        <w:rPr>
          <w:rFonts w:ascii="Times New Roman" w:hAnsi="Times New Roman"/>
          <w:sz w:val="24"/>
        </w:rPr>
        <w:t>triggers marginal fuel substitution</w:t>
      </w:r>
      <w:r w:rsidR="00FF3B5B">
        <w:rPr>
          <w:rFonts w:ascii="Times New Roman" w:hAnsi="Times New Roman"/>
          <w:sz w:val="24"/>
        </w:rPr>
        <w:t xml:space="preserve"> </w:t>
      </w:r>
      <w:r>
        <w:rPr>
          <w:rFonts w:ascii="Times New Roman" w:hAnsi="Times New Roman"/>
          <w:sz w:val="24"/>
        </w:rPr>
        <w:t>gas share declines to 54% while electricity rises to 32%, indicating industry's capacity constraints in rapid capital stock turnover and process electrification (Bataille et al., 2018). In contrast, ETS2</w:t>
      </w:r>
      <w:r w:rsidR="00977741">
        <w:rPr>
          <w:rFonts w:ascii="Times New Roman" w:hAnsi="Times New Roman"/>
          <w:sz w:val="24"/>
        </w:rPr>
        <w:t xml:space="preserve"> </w:t>
      </w:r>
      <w:r w:rsidR="007F0805">
        <w:rPr>
          <w:rFonts w:ascii="Times New Roman" w:hAnsi="Times New Roman"/>
          <w:sz w:val="24"/>
        </w:rPr>
        <w:t>catalyses</w:t>
      </w:r>
      <w:r>
        <w:rPr>
          <w:rFonts w:ascii="Times New Roman" w:hAnsi="Times New Roman"/>
          <w:sz w:val="24"/>
        </w:rPr>
        <w:t xml:space="preserve"> </w:t>
      </w:r>
      <w:r w:rsidR="007F0805">
        <w:rPr>
          <w:rFonts w:ascii="Times New Roman" w:hAnsi="Times New Roman"/>
          <w:sz w:val="24"/>
        </w:rPr>
        <w:t xml:space="preserve">this </w:t>
      </w:r>
      <w:r>
        <w:rPr>
          <w:rFonts w:ascii="Times New Roman" w:hAnsi="Times New Roman"/>
          <w:sz w:val="24"/>
        </w:rPr>
        <w:t>transformative change</w:t>
      </w:r>
      <w:r w:rsidR="007F0805">
        <w:rPr>
          <w:rFonts w:ascii="Times New Roman" w:hAnsi="Times New Roman"/>
          <w:sz w:val="24"/>
        </w:rPr>
        <w:t xml:space="preserve"> and we</w:t>
      </w:r>
      <w:r>
        <w:rPr>
          <w:rFonts w:ascii="Times New Roman" w:hAnsi="Times New Roman"/>
          <w:sz w:val="24"/>
        </w:rPr>
        <w:t xml:space="preserve"> </w:t>
      </w:r>
      <w:r w:rsidR="00AC5253">
        <w:rPr>
          <w:rFonts w:ascii="Times New Roman" w:hAnsi="Times New Roman"/>
          <w:sz w:val="24"/>
        </w:rPr>
        <w:t xml:space="preserve">observe a </w:t>
      </w:r>
      <w:r w:rsidR="00980DDD">
        <w:rPr>
          <w:rFonts w:ascii="Times New Roman" w:hAnsi="Times New Roman"/>
          <w:sz w:val="24"/>
        </w:rPr>
        <w:t>surging</w:t>
      </w:r>
      <w:r>
        <w:rPr>
          <w:rFonts w:ascii="Times New Roman" w:hAnsi="Times New Roman"/>
          <w:sz w:val="24"/>
        </w:rPr>
        <w:t xml:space="preserve"> electricity's share to 40% by 2040, primarily driven by heat pump adoption in residential heating and electric vehicle penetration in transport, while gas recedes to 48%. Critically, total energy demand contracts by 24% under ETS2 (-0.12 TWh relative to BAU), revealing synergistic effects between fuel switching and efficiency improvements. This demand reduction reflects retrofit investments in building envelopes, modal shifts toward public transport, and industrial cogeneration deployment</w:t>
      </w:r>
      <w:r w:rsidR="005E6E00">
        <w:rPr>
          <w:rFonts w:ascii="Times New Roman" w:hAnsi="Times New Roman"/>
          <w:sz w:val="24"/>
        </w:rPr>
        <w:t xml:space="preserve">, </w:t>
      </w:r>
      <w:r>
        <w:rPr>
          <w:rFonts w:ascii="Times New Roman" w:hAnsi="Times New Roman"/>
          <w:sz w:val="24"/>
        </w:rPr>
        <w:t>mechanisms explicitly captured through our soft-linking framework (</w:t>
      </w:r>
      <w:proofErr w:type="spellStart"/>
      <w:r>
        <w:rPr>
          <w:rFonts w:ascii="Times New Roman" w:hAnsi="Times New Roman"/>
          <w:sz w:val="24"/>
        </w:rPr>
        <w:t>Luderer</w:t>
      </w:r>
      <w:proofErr w:type="spellEnd"/>
      <w:r>
        <w:rPr>
          <w:rFonts w:ascii="Times New Roman" w:hAnsi="Times New Roman"/>
          <w:sz w:val="24"/>
        </w:rPr>
        <w:t xml:space="preserve"> et al., 2021). The pronounced electrification response aligns with Italy's abundant solar resources and established manufacturing base for renewable technologies, positioning the economy for cost-effective decarbonization pathways (Fragkos et al., 2021).</w:t>
      </w:r>
    </w:p>
    <w:p w14:paraId="44E97968" w14:textId="77777777" w:rsidR="001A6BE9" w:rsidRDefault="00000000">
      <w:pPr>
        <w:pStyle w:val="Heading2"/>
      </w:pPr>
      <w:r>
        <w:rPr>
          <w:rFonts w:ascii="Times New Roman" w:hAnsi="Times New Roman"/>
          <w:sz w:val="24"/>
        </w:rPr>
        <w:t>References</w:t>
      </w:r>
    </w:p>
    <w:p w14:paraId="4BE35E53" w14:textId="77777777" w:rsidR="001A6BE9" w:rsidRDefault="00000000">
      <w:pPr>
        <w:spacing w:line="360" w:lineRule="auto"/>
        <w:ind w:left="720" w:hanging="720"/>
      </w:pPr>
      <w:r>
        <w:rPr>
          <w:rFonts w:ascii="Times New Roman" w:hAnsi="Times New Roman"/>
          <w:sz w:val="24"/>
        </w:rPr>
        <w:t xml:space="preserve">Bataille, C., Åhman, M., Neuhoff, K., Nilsson, L. J., </w:t>
      </w:r>
      <w:proofErr w:type="spellStart"/>
      <w:r>
        <w:rPr>
          <w:rFonts w:ascii="Times New Roman" w:hAnsi="Times New Roman"/>
          <w:sz w:val="24"/>
        </w:rPr>
        <w:t>Fischedick</w:t>
      </w:r>
      <w:proofErr w:type="spellEnd"/>
      <w:r>
        <w:rPr>
          <w:rFonts w:ascii="Times New Roman" w:hAnsi="Times New Roman"/>
          <w:sz w:val="24"/>
        </w:rPr>
        <w:t xml:space="preserve">, M., </w:t>
      </w:r>
      <w:proofErr w:type="spellStart"/>
      <w:r>
        <w:rPr>
          <w:rFonts w:ascii="Times New Roman" w:hAnsi="Times New Roman"/>
          <w:sz w:val="24"/>
        </w:rPr>
        <w:t>Lechtenböhmer</w:t>
      </w:r>
      <w:proofErr w:type="spellEnd"/>
      <w:r>
        <w:rPr>
          <w:rFonts w:ascii="Times New Roman" w:hAnsi="Times New Roman"/>
          <w:sz w:val="24"/>
        </w:rPr>
        <w:t xml:space="preserve">, S., ... &amp; </w:t>
      </w:r>
      <w:proofErr w:type="spellStart"/>
      <w:r>
        <w:rPr>
          <w:rFonts w:ascii="Times New Roman" w:hAnsi="Times New Roman"/>
          <w:sz w:val="24"/>
        </w:rPr>
        <w:t>Rootzén</w:t>
      </w:r>
      <w:proofErr w:type="spellEnd"/>
      <w:r>
        <w:rPr>
          <w:rFonts w:ascii="Times New Roman" w:hAnsi="Times New Roman"/>
          <w:sz w:val="24"/>
        </w:rPr>
        <w:t>, J. (2018). A review of technology and policy deep decarbonization pathway options for making energy-intensive industry production consistent with the Paris Agreement. Journal of Cleaner Production, 187, 960-973.</w:t>
      </w:r>
    </w:p>
    <w:p w14:paraId="6CA6844B" w14:textId="77777777" w:rsidR="001A6BE9" w:rsidRDefault="00000000">
      <w:pPr>
        <w:spacing w:line="360" w:lineRule="auto"/>
        <w:ind w:left="720" w:hanging="720"/>
      </w:pPr>
      <w:proofErr w:type="spellStart"/>
      <w:r>
        <w:rPr>
          <w:rFonts w:ascii="Times New Roman" w:hAnsi="Times New Roman"/>
          <w:sz w:val="24"/>
        </w:rPr>
        <w:t>Creutzig</w:t>
      </w:r>
      <w:proofErr w:type="spellEnd"/>
      <w:r>
        <w:rPr>
          <w:rFonts w:ascii="Times New Roman" w:hAnsi="Times New Roman"/>
          <w:sz w:val="24"/>
        </w:rPr>
        <w:t xml:space="preserve">, F., </w:t>
      </w:r>
      <w:proofErr w:type="spellStart"/>
      <w:r>
        <w:rPr>
          <w:rFonts w:ascii="Times New Roman" w:hAnsi="Times New Roman"/>
          <w:sz w:val="24"/>
        </w:rPr>
        <w:t>Niamir</w:t>
      </w:r>
      <w:proofErr w:type="spellEnd"/>
      <w:r>
        <w:rPr>
          <w:rFonts w:ascii="Times New Roman" w:hAnsi="Times New Roman"/>
          <w:sz w:val="24"/>
        </w:rPr>
        <w:t>, L., Bai, X., Callaghan, M., Cullen, J., Díaz-José, J., ... &amp; Ürge-</w:t>
      </w:r>
      <w:proofErr w:type="spellStart"/>
      <w:r>
        <w:rPr>
          <w:rFonts w:ascii="Times New Roman" w:hAnsi="Times New Roman"/>
          <w:sz w:val="24"/>
        </w:rPr>
        <w:t>Vorsatz</w:t>
      </w:r>
      <w:proofErr w:type="spellEnd"/>
      <w:r>
        <w:rPr>
          <w:rFonts w:ascii="Times New Roman" w:hAnsi="Times New Roman"/>
          <w:sz w:val="24"/>
        </w:rPr>
        <w:t>, D. (2022). Demand-side solutions to climate change mitigation consistent with high levels of well-being. Nature Climate Change, 12(1), 36-46.</w:t>
      </w:r>
    </w:p>
    <w:p w14:paraId="4B2E31E6" w14:textId="77777777" w:rsidR="001A6BE9" w:rsidRDefault="00000000">
      <w:pPr>
        <w:spacing w:line="360" w:lineRule="auto"/>
        <w:ind w:left="720" w:hanging="720"/>
      </w:pPr>
      <w:r>
        <w:rPr>
          <w:rFonts w:ascii="Times New Roman" w:hAnsi="Times New Roman"/>
          <w:sz w:val="24"/>
        </w:rPr>
        <w:lastRenderedPageBreak/>
        <w:t xml:space="preserve">Fragkos, P., Tasios, N., </w:t>
      </w:r>
      <w:proofErr w:type="spellStart"/>
      <w:r>
        <w:rPr>
          <w:rFonts w:ascii="Times New Roman" w:hAnsi="Times New Roman"/>
          <w:sz w:val="24"/>
        </w:rPr>
        <w:t>Paroussos</w:t>
      </w:r>
      <w:proofErr w:type="spellEnd"/>
      <w:r>
        <w:rPr>
          <w:rFonts w:ascii="Times New Roman" w:hAnsi="Times New Roman"/>
          <w:sz w:val="24"/>
        </w:rPr>
        <w:t xml:space="preserve">, L., </w:t>
      </w:r>
      <w:proofErr w:type="spellStart"/>
      <w:r>
        <w:rPr>
          <w:rFonts w:ascii="Times New Roman" w:hAnsi="Times New Roman"/>
          <w:sz w:val="24"/>
        </w:rPr>
        <w:t>Capros</w:t>
      </w:r>
      <w:proofErr w:type="spellEnd"/>
      <w:r>
        <w:rPr>
          <w:rFonts w:ascii="Times New Roman" w:hAnsi="Times New Roman"/>
          <w:sz w:val="24"/>
        </w:rPr>
        <w:t xml:space="preserve">, P., &amp; </w:t>
      </w:r>
      <w:proofErr w:type="spellStart"/>
      <w:r>
        <w:rPr>
          <w:rFonts w:ascii="Times New Roman" w:hAnsi="Times New Roman"/>
          <w:sz w:val="24"/>
        </w:rPr>
        <w:t>Tsani</w:t>
      </w:r>
      <w:proofErr w:type="spellEnd"/>
      <w:r>
        <w:rPr>
          <w:rFonts w:ascii="Times New Roman" w:hAnsi="Times New Roman"/>
          <w:sz w:val="24"/>
        </w:rPr>
        <w:t>, S. (2021). Energy system impacts and policy implications of the European Intended Nationally Determined Contribution and low-carbon pathway to 2050. Energy Policy, 100, 216-226.</w:t>
      </w:r>
    </w:p>
    <w:p w14:paraId="463D19C0" w14:textId="77777777" w:rsidR="001A6BE9" w:rsidRDefault="00000000">
      <w:pPr>
        <w:spacing w:line="360" w:lineRule="auto"/>
        <w:ind w:left="720" w:hanging="720"/>
      </w:pPr>
      <w:r>
        <w:rPr>
          <w:rFonts w:ascii="Times New Roman" w:hAnsi="Times New Roman"/>
          <w:sz w:val="24"/>
        </w:rPr>
        <w:t>IEA. (2023). Energy Technology Perspectives 2023. International Energy Agency, Paris. https://www.iea.org/reports/energy-technology-perspectives-2023</w:t>
      </w:r>
    </w:p>
    <w:p w14:paraId="3111A262" w14:textId="77777777" w:rsidR="001A6BE9" w:rsidRDefault="00000000">
      <w:pPr>
        <w:spacing w:line="360" w:lineRule="auto"/>
        <w:ind w:left="720" w:hanging="720"/>
      </w:pPr>
      <w:proofErr w:type="spellStart"/>
      <w:r>
        <w:rPr>
          <w:rFonts w:ascii="Times New Roman" w:hAnsi="Times New Roman"/>
          <w:sz w:val="24"/>
        </w:rPr>
        <w:t>Luderer</w:t>
      </w:r>
      <w:proofErr w:type="spellEnd"/>
      <w:r>
        <w:rPr>
          <w:rFonts w:ascii="Times New Roman" w:hAnsi="Times New Roman"/>
          <w:sz w:val="24"/>
        </w:rPr>
        <w:t xml:space="preserve">, G., </w:t>
      </w:r>
      <w:proofErr w:type="spellStart"/>
      <w:r>
        <w:rPr>
          <w:rFonts w:ascii="Times New Roman" w:hAnsi="Times New Roman"/>
          <w:sz w:val="24"/>
        </w:rPr>
        <w:t>Madeddu</w:t>
      </w:r>
      <w:proofErr w:type="spellEnd"/>
      <w:r>
        <w:rPr>
          <w:rFonts w:ascii="Times New Roman" w:hAnsi="Times New Roman"/>
          <w:sz w:val="24"/>
        </w:rPr>
        <w:t xml:space="preserve">, S., </w:t>
      </w:r>
      <w:proofErr w:type="spellStart"/>
      <w:r>
        <w:rPr>
          <w:rFonts w:ascii="Times New Roman" w:hAnsi="Times New Roman"/>
          <w:sz w:val="24"/>
        </w:rPr>
        <w:t>Merfort</w:t>
      </w:r>
      <w:proofErr w:type="spellEnd"/>
      <w:r>
        <w:rPr>
          <w:rFonts w:ascii="Times New Roman" w:hAnsi="Times New Roman"/>
          <w:sz w:val="24"/>
        </w:rPr>
        <w:t xml:space="preserve">, L., </w:t>
      </w:r>
      <w:proofErr w:type="spellStart"/>
      <w:r>
        <w:rPr>
          <w:rFonts w:ascii="Times New Roman" w:hAnsi="Times New Roman"/>
          <w:sz w:val="24"/>
        </w:rPr>
        <w:t>Ueckerdt</w:t>
      </w:r>
      <w:proofErr w:type="spellEnd"/>
      <w:r>
        <w:rPr>
          <w:rFonts w:ascii="Times New Roman" w:hAnsi="Times New Roman"/>
          <w:sz w:val="24"/>
        </w:rPr>
        <w:t xml:space="preserve">, F., Pehl, M., </w:t>
      </w:r>
      <w:proofErr w:type="spellStart"/>
      <w:r>
        <w:rPr>
          <w:rFonts w:ascii="Times New Roman" w:hAnsi="Times New Roman"/>
          <w:sz w:val="24"/>
        </w:rPr>
        <w:t>Pietzcker</w:t>
      </w:r>
      <w:proofErr w:type="spellEnd"/>
      <w:r>
        <w:rPr>
          <w:rFonts w:ascii="Times New Roman" w:hAnsi="Times New Roman"/>
          <w:sz w:val="24"/>
        </w:rPr>
        <w:t>, R., ... &amp; Bauer, N. (2021). Impact of declining renewable energy costs on electrification in low-emission scenarios. Nature Energy, 7(1), 32-42.</w:t>
      </w:r>
    </w:p>
    <w:sectPr w:rsidR="001A6BE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86517" w14:textId="77777777" w:rsidR="006A0A4E" w:rsidRDefault="006A0A4E" w:rsidP="008F71E0">
      <w:pPr>
        <w:spacing w:after="0" w:line="240" w:lineRule="auto"/>
      </w:pPr>
      <w:r>
        <w:separator/>
      </w:r>
    </w:p>
  </w:endnote>
  <w:endnote w:type="continuationSeparator" w:id="0">
    <w:p w14:paraId="334F6130" w14:textId="77777777" w:rsidR="006A0A4E" w:rsidRDefault="006A0A4E" w:rsidP="008F71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99A81" w14:textId="77777777" w:rsidR="006A0A4E" w:rsidRDefault="006A0A4E" w:rsidP="008F71E0">
      <w:pPr>
        <w:spacing w:after="0" w:line="240" w:lineRule="auto"/>
      </w:pPr>
      <w:r>
        <w:separator/>
      </w:r>
    </w:p>
  </w:footnote>
  <w:footnote w:type="continuationSeparator" w:id="0">
    <w:p w14:paraId="08BC247D" w14:textId="77777777" w:rsidR="006A0A4E" w:rsidRDefault="006A0A4E" w:rsidP="008F71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6177658">
    <w:abstractNumId w:val="8"/>
  </w:num>
  <w:num w:numId="2" w16cid:durableId="966854223">
    <w:abstractNumId w:val="6"/>
  </w:num>
  <w:num w:numId="3" w16cid:durableId="927814666">
    <w:abstractNumId w:val="5"/>
  </w:num>
  <w:num w:numId="4" w16cid:durableId="764150091">
    <w:abstractNumId w:val="4"/>
  </w:num>
  <w:num w:numId="5" w16cid:durableId="798183742">
    <w:abstractNumId w:val="7"/>
  </w:num>
  <w:num w:numId="6" w16cid:durableId="1119446362">
    <w:abstractNumId w:val="3"/>
  </w:num>
  <w:num w:numId="7" w16cid:durableId="1941335371">
    <w:abstractNumId w:val="2"/>
  </w:num>
  <w:num w:numId="8" w16cid:durableId="784039827">
    <w:abstractNumId w:val="1"/>
  </w:num>
  <w:num w:numId="9" w16cid:durableId="316111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908"/>
    <w:rsid w:val="00034616"/>
    <w:rsid w:val="000378AA"/>
    <w:rsid w:val="0006063C"/>
    <w:rsid w:val="001021C3"/>
    <w:rsid w:val="0015074B"/>
    <w:rsid w:val="001A6BE9"/>
    <w:rsid w:val="00252569"/>
    <w:rsid w:val="00253409"/>
    <w:rsid w:val="0029639D"/>
    <w:rsid w:val="00326F90"/>
    <w:rsid w:val="00473F95"/>
    <w:rsid w:val="004A4539"/>
    <w:rsid w:val="005B228D"/>
    <w:rsid w:val="005E6E00"/>
    <w:rsid w:val="006A0A4E"/>
    <w:rsid w:val="0073730B"/>
    <w:rsid w:val="007F0805"/>
    <w:rsid w:val="008F32A0"/>
    <w:rsid w:val="008F71E0"/>
    <w:rsid w:val="00977741"/>
    <w:rsid w:val="00980DDD"/>
    <w:rsid w:val="00AA1D8D"/>
    <w:rsid w:val="00AC5253"/>
    <w:rsid w:val="00B47730"/>
    <w:rsid w:val="00CB0664"/>
    <w:rsid w:val="00CF196E"/>
    <w:rsid w:val="00E330C8"/>
    <w:rsid w:val="00F418B4"/>
    <w:rsid w:val="00FC693F"/>
    <w:rsid w:val="00FF3B5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903E251E-769F-4252-A0CB-CB45836C4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365</Words>
  <Characters>2340</Characters>
  <Application>Microsoft Office Word</Application>
  <DocSecurity>0</DocSecurity>
  <Lines>41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b.jammeh@campus.unimib.it</cp:lastModifiedBy>
  <cp:revision>20</cp:revision>
  <dcterms:created xsi:type="dcterms:W3CDTF">2013-12-23T23:15:00Z</dcterms:created>
  <dcterms:modified xsi:type="dcterms:W3CDTF">2025-10-22T14:07:00Z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a4f87aed-bfa6-4208-bc86-0151b6768e2d</vt:lpwstr>
  </property>
</Properties>
</file>