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sz w:val="28"/>
        </w:rPr>
        <w:t>Per Capita Renewable Investment Results</w:t>
      </w:r>
    </w:p>
    <w:p>
      <w:pPr>
        <w:spacing w:line="360" w:lineRule="auto"/>
        <w:jc w:val="both"/>
      </w:pPr>
      <w:r>
        <w:rPr>
          <w:rFonts w:ascii="Times New Roman" w:hAnsi="Times New Roman"/>
          <w:sz w:val="24"/>
        </w:rPr>
        <w:t>Our analysis reveals pronounced regional disparities in per capita renewable energy investment by 2040. Under ETS2, the Islands receive €5,256 per capita annually—2.21 times the national average—while the South receives €4,292 per capita (Fragkos et al., 2021). In contrast, northern regions receive substantially less: Northwest €1,211 and Northeast €1,063 per capita. This yields a South/North investment ratio of 4.00, reflecting optimal allocation following regional resource endowments (Gerhardt et al., 2020). Under the less ambitious ETS1 scenario, we observe similar spatial patterns with lower absolute values: Islands €3,889 and South €3,236 per capita. The consistency of regional investment ratios across scenarios (Islands 2.17-2.21× average) suggests robust results driven by geographic factors rather than policy design (Creutzig et al., 2022).</w:t>
      </w:r>
    </w:p>
    <w:p>
      <w:pPr>
        <w:pStyle w:val="Heading2"/>
      </w:pPr>
      <w:r>
        <w:rPr>
          <w:rFonts w:ascii="Times New Roman" w:hAnsi="Times New Roman"/>
          <w:b/>
          <w:sz w:val="24"/>
        </w:rPr>
        <w:t>References</w:t>
      </w:r>
    </w:p>
    <w:p>
      <w:pPr>
        <w:spacing w:line="360" w:lineRule="auto"/>
        <w:ind w:left="720" w:hanging="720"/>
      </w:pPr>
      <w:r>
        <w:rPr>
          <w:rFonts w:ascii="Times New Roman" w:hAnsi="Times New Roman"/>
          <w:sz w:val="24"/>
        </w:rPr>
        <w:t>Creutzig, F., Niamir, L., Bai, X., Callaghan, M., Cullen, J., Díaz-José, J., ... &amp; Ürge-Vorsatz, D. (2022). Demand-side solutions to climate change mitigation consistent with high levels of well-being. Nature Climate Change, 12(1), 36-46.</w:t>
      </w:r>
    </w:p>
    <w:p>
      <w:pPr>
        <w:spacing w:line="360" w:lineRule="auto"/>
        <w:ind w:left="720" w:hanging="720"/>
      </w:pPr>
      <w:r>
        <w:rPr>
          <w:rFonts w:ascii="Times New Roman" w:hAnsi="Times New Roman"/>
          <w:sz w:val="24"/>
        </w:rPr>
        <w:t>Fragkos, P., Tasios, N., Paroussos, L., Capros, P., &amp; Tsani, S. (2021). Energy system impacts and policy implications of the European Intended Nationally Determined Contribution and low-carbon pathway to 2050. Energy Policy, 100, 216-226.</w:t>
      </w:r>
    </w:p>
    <w:p>
      <w:pPr>
        <w:spacing w:line="360" w:lineRule="auto"/>
        <w:ind w:left="720" w:hanging="720"/>
      </w:pPr>
      <w:r>
        <w:rPr>
          <w:rFonts w:ascii="Times New Roman" w:hAnsi="Times New Roman"/>
          <w:sz w:val="24"/>
        </w:rPr>
        <w:t>Gerhardt, N., Bard, J., Schmitz, J., Beil, M., Pfennig, M., &amp; Kneiske, T. (2020). Interaction between renewable energy sources and storage technologies in the energy system transformation. Renewable Energy, 162, 1849-1865.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