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9554F" w14:textId="77777777" w:rsidR="00464C56" w:rsidRPr="00EE7434" w:rsidRDefault="00000000">
      <w:pPr>
        <w:jc w:val="center"/>
      </w:pPr>
      <w:r w:rsidRPr="00EE7434">
        <w:rPr>
          <w:b/>
          <w:sz w:val="48"/>
        </w:rPr>
        <w:t>CGE-I5 MODEL</w:t>
      </w:r>
      <w:r w:rsidRPr="00EE7434">
        <w:rPr>
          <w:b/>
          <w:color w:val="000080"/>
          <w:sz w:val="48"/>
        </w:rPr>
        <w:br/>
      </w:r>
      <w:r w:rsidRPr="00EE7434">
        <w:rPr>
          <w:b/>
          <w:color w:val="000080"/>
          <w:sz w:val="48"/>
        </w:rPr>
        <w:br/>
      </w:r>
    </w:p>
    <w:p w14:paraId="2A9A7CA3" w14:textId="77777777" w:rsidR="00464C56" w:rsidRPr="00EE7434" w:rsidRDefault="00000000">
      <w:pPr>
        <w:jc w:val="center"/>
      </w:pPr>
      <w:r w:rsidRPr="00EE7434">
        <w:rPr>
          <w:b/>
          <w:sz w:val="36"/>
        </w:rPr>
        <w:t>A Computable General Equilibrium Model</w:t>
      </w:r>
      <w:r w:rsidRPr="00EE7434">
        <w:rPr>
          <w:b/>
          <w:sz w:val="36"/>
        </w:rPr>
        <w:br/>
        <w:t>for Italy with Five Macro-Regions</w:t>
      </w:r>
      <w:r w:rsidRPr="00EE7434">
        <w:rPr>
          <w:b/>
          <w:sz w:val="36"/>
        </w:rPr>
        <w:br/>
      </w:r>
      <w:r w:rsidRPr="00EE7434">
        <w:rPr>
          <w:b/>
          <w:sz w:val="36"/>
        </w:rPr>
        <w:br/>
      </w:r>
    </w:p>
    <w:p w14:paraId="03AC30E4" w14:textId="77777777" w:rsidR="00464C56" w:rsidRPr="00EE7434" w:rsidRDefault="00000000">
      <w:pPr>
        <w:jc w:val="center"/>
      </w:pPr>
      <w:r w:rsidRPr="00EE7434">
        <w:rPr>
          <w:sz w:val="28"/>
        </w:rPr>
        <w:t>Assessing Economic and Environmental Impacts</w:t>
      </w:r>
      <w:r w:rsidRPr="00EE7434">
        <w:rPr>
          <w:sz w:val="28"/>
        </w:rPr>
        <w:br/>
        <w:t>of Decarbonization Policies (2021-2040)</w:t>
      </w:r>
      <w:r w:rsidRPr="00EE7434">
        <w:rPr>
          <w:sz w:val="28"/>
        </w:rPr>
        <w:br/>
      </w:r>
      <w:r w:rsidRPr="00EE7434">
        <w:rPr>
          <w:sz w:val="28"/>
        </w:rPr>
        <w:br/>
      </w:r>
      <w:r w:rsidRPr="00EE7434">
        <w:rPr>
          <w:sz w:val="28"/>
        </w:rPr>
        <w:br/>
      </w:r>
    </w:p>
    <w:p w14:paraId="7FDC4CBA" w14:textId="77777777" w:rsidR="00464C56" w:rsidRPr="00EE7434" w:rsidRDefault="00000000">
      <w:r w:rsidRPr="00EE7434">
        <w:br/>
      </w:r>
      <w:r w:rsidRPr="00EE7434">
        <w:br/>
      </w:r>
      <w:r w:rsidRPr="00EE7434">
        <w:br/>
      </w:r>
    </w:p>
    <w:p w14:paraId="41787AB9" w14:textId="4D3A7A09" w:rsidR="00464C56" w:rsidRPr="00EE7434" w:rsidRDefault="00000000">
      <w:pPr>
        <w:jc w:val="center"/>
      </w:pPr>
      <w:r w:rsidRPr="00EE7434">
        <w:rPr>
          <w:sz w:val="28"/>
        </w:rPr>
        <w:t>Report</w:t>
      </w:r>
      <w:r w:rsidRPr="00EE7434">
        <w:rPr>
          <w:sz w:val="28"/>
        </w:rPr>
        <w:br/>
        <w:t>2025</w:t>
      </w:r>
      <w:r w:rsidRPr="00EE7434">
        <w:rPr>
          <w:sz w:val="28"/>
        </w:rPr>
        <w:br/>
      </w:r>
      <w:r w:rsidRPr="00EE7434">
        <w:rPr>
          <w:sz w:val="28"/>
        </w:rPr>
        <w:br/>
      </w:r>
    </w:p>
    <w:p w14:paraId="4608EE7D" w14:textId="77777777" w:rsidR="00464C56" w:rsidRPr="00EE7434" w:rsidRDefault="00000000">
      <w:pPr>
        <w:jc w:val="center"/>
      </w:pPr>
      <w:r w:rsidRPr="00EE7434">
        <w:t>Università degli Studi di Milano-Bicocca</w:t>
      </w:r>
      <w:r w:rsidRPr="00EE7434">
        <w:br/>
      </w:r>
    </w:p>
    <w:p w14:paraId="5FB1FEBC" w14:textId="77777777" w:rsidR="00464C56" w:rsidRPr="00EE7434" w:rsidRDefault="00000000">
      <w:r w:rsidRPr="00EE7434">
        <w:br w:type="page"/>
      </w:r>
    </w:p>
    <w:p w14:paraId="09864801" w14:textId="77777777" w:rsidR="00464C56" w:rsidRPr="00EE7434" w:rsidRDefault="00000000">
      <w:r w:rsidRPr="00EE7434">
        <w:lastRenderedPageBreak/>
        <w:br w:type="page"/>
      </w:r>
    </w:p>
    <w:p w14:paraId="77827A52" w14:textId="7F8516A9" w:rsidR="00B676B8" w:rsidRPr="00EE7434" w:rsidRDefault="00B676B8" w:rsidP="00744ABB">
      <w:pPr>
        <w:jc w:val="both"/>
        <w:rPr>
          <w:b/>
          <w:bCs/>
        </w:rPr>
      </w:pPr>
      <w:r w:rsidRPr="00EE7434">
        <w:rPr>
          <w:b/>
          <w:bCs/>
        </w:rPr>
        <w:lastRenderedPageBreak/>
        <w:t xml:space="preserve">Executive </w:t>
      </w:r>
      <w:r w:rsidR="00744ABB" w:rsidRPr="00EE7434">
        <w:rPr>
          <w:b/>
          <w:bCs/>
        </w:rPr>
        <w:t xml:space="preserve">Summary </w:t>
      </w:r>
    </w:p>
    <w:p w14:paraId="2DC6B9B8" w14:textId="5218B3C0" w:rsidR="00464C56" w:rsidRPr="00EE7434" w:rsidRDefault="00000000" w:rsidP="00744ABB">
      <w:pPr>
        <w:jc w:val="both"/>
      </w:pPr>
      <w:r w:rsidRPr="00EE7434">
        <w:t xml:space="preserve">This report presents the CGE-I5 (Computable General Equilibrium for Italy with </w:t>
      </w:r>
      <w:r w:rsidR="00DD4FF3" w:rsidRPr="00EE7434">
        <w:t>five</w:t>
      </w:r>
      <w:r w:rsidRPr="00EE7434">
        <w:t xml:space="preserve"> regions) model, a comprehensive recursive dynamic economic model designed to assess the macro-distributional and environmental impacts of decarbonization policies in Italy. The model provides</w:t>
      </w:r>
      <w:r w:rsidR="00984155" w:rsidRPr="00EE7434">
        <w:t xml:space="preserve"> a </w:t>
      </w:r>
      <w:r w:rsidRPr="00EE7434">
        <w:t>detailed analysis of economic, energy, and environmental interactions across Italy's five macro-regions from 2021 to 2040.</w:t>
      </w:r>
    </w:p>
    <w:p w14:paraId="18D432DC" w14:textId="5C720347" w:rsidR="00B676B8" w:rsidRPr="00EE7434" w:rsidRDefault="00B676B8" w:rsidP="00744ABB">
      <w:pPr>
        <w:jc w:val="both"/>
        <w:rPr>
          <w:b/>
          <w:bCs/>
        </w:rPr>
      </w:pPr>
      <w:r w:rsidRPr="00EE7434">
        <w:rPr>
          <w:b/>
          <w:bCs/>
        </w:rPr>
        <w:t>Key Features</w:t>
      </w:r>
    </w:p>
    <w:p w14:paraId="2289C127" w14:textId="0D463853" w:rsidR="00464C56" w:rsidRPr="00EE7434" w:rsidRDefault="00000000" w:rsidP="00DA67DB">
      <w:pPr>
        <w:pStyle w:val="ListBullet"/>
        <w:numPr>
          <w:ilvl w:val="0"/>
          <w:numId w:val="14"/>
        </w:numPr>
        <w:jc w:val="both"/>
      </w:pPr>
      <w:r w:rsidRPr="00EE7434">
        <w:t>Multi-regional structure: Disaggregation into five Italian macro-regions (Northwest, Northeast, Centre, South, and Islands)</w:t>
      </w:r>
      <w:r w:rsidR="00C952AC" w:rsidRPr="00EE7434">
        <w:t xml:space="preserve">. </w:t>
      </w:r>
    </w:p>
    <w:p w14:paraId="19C3B263" w14:textId="3D201C90" w:rsidR="00464C56" w:rsidRPr="00EE7434" w:rsidRDefault="00000000" w:rsidP="00DA67DB">
      <w:pPr>
        <w:pStyle w:val="ListBullet"/>
        <w:numPr>
          <w:ilvl w:val="0"/>
          <w:numId w:val="14"/>
        </w:numPr>
        <w:jc w:val="both"/>
      </w:pPr>
      <w:r w:rsidRPr="00EE7434">
        <w:t>Recursive dynamic framework: Annual time steps from 2021 (base year) to 2040</w:t>
      </w:r>
      <w:r w:rsidR="00C952AC" w:rsidRPr="00EE7434">
        <w:t xml:space="preserve">. </w:t>
      </w:r>
    </w:p>
    <w:p w14:paraId="039F42CE" w14:textId="44595C38" w:rsidR="00464C56" w:rsidRPr="00EE7434" w:rsidRDefault="00000000" w:rsidP="00DA67DB">
      <w:pPr>
        <w:pStyle w:val="ListBullet"/>
        <w:numPr>
          <w:ilvl w:val="0"/>
          <w:numId w:val="14"/>
        </w:numPr>
        <w:jc w:val="both"/>
      </w:pPr>
      <w:r w:rsidRPr="00EE7434">
        <w:t xml:space="preserve">Comprehensive sectoral detail: </w:t>
      </w:r>
      <w:r w:rsidR="007F33A4" w:rsidRPr="00EE7434">
        <w:t>5</w:t>
      </w:r>
      <w:r w:rsidRPr="00EE7434">
        <w:t xml:space="preserve"> production sectors including disaggregated energy (renewables, gas, other energy) and transport sectors</w:t>
      </w:r>
      <w:r w:rsidR="00C952AC" w:rsidRPr="00EE7434">
        <w:t xml:space="preserve">. </w:t>
      </w:r>
    </w:p>
    <w:p w14:paraId="0FD28D37" w14:textId="40AF292D" w:rsidR="00464C56" w:rsidRPr="00EE7434" w:rsidRDefault="00000000" w:rsidP="00DA67DB">
      <w:pPr>
        <w:pStyle w:val="ListBullet"/>
        <w:numPr>
          <w:ilvl w:val="0"/>
          <w:numId w:val="14"/>
        </w:numPr>
        <w:jc w:val="both"/>
      </w:pPr>
      <w:r w:rsidRPr="00EE7434">
        <w:t>Environmental module: Detailed CO₂ emissions tracking with sector-specific emission factors calibrated to Italian 2021 data</w:t>
      </w:r>
      <w:r w:rsidR="00C952AC" w:rsidRPr="00EE7434">
        <w:t xml:space="preserve">. </w:t>
      </w:r>
    </w:p>
    <w:p w14:paraId="1B80292F" w14:textId="7CA19B93" w:rsidR="00464C56" w:rsidRPr="00EE7434" w:rsidRDefault="00000000" w:rsidP="00DA67DB">
      <w:pPr>
        <w:pStyle w:val="ListBullet"/>
        <w:numPr>
          <w:ilvl w:val="0"/>
          <w:numId w:val="14"/>
        </w:numPr>
        <w:jc w:val="both"/>
      </w:pPr>
      <w:r w:rsidRPr="00EE7434">
        <w:t>Climate policy scenarios: Three scenarios including Business-as-Usual (BAU), EU ETS Phase 4 for industry (ETS1), and extended coverage including buildings and transport (ETS2)</w:t>
      </w:r>
      <w:r w:rsidR="00C952AC" w:rsidRPr="00EE7434">
        <w:t xml:space="preserve">. </w:t>
      </w:r>
    </w:p>
    <w:p w14:paraId="1EB8BE60" w14:textId="793F09CB" w:rsidR="00464C56" w:rsidRPr="00EE7434" w:rsidRDefault="00000000" w:rsidP="00DA67DB">
      <w:pPr>
        <w:pStyle w:val="ListBullet"/>
        <w:numPr>
          <w:ilvl w:val="0"/>
          <w:numId w:val="14"/>
        </w:numPr>
        <w:jc w:val="both"/>
      </w:pPr>
      <w:r w:rsidRPr="00EE7434">
        <w:t>Carbon pricing mechanisms: Market Stability Reserve (MSR) for ETS1 and Price Stability Mechanism (PSM) for ETS2</w:t>
      </w:r>
      <w:r w:rsidR="00C952AC" w:rsidRPr="00EE7434">
        <w:t xml:space="preserve">. </w:t>
      </w:r>
    </w:p>
    <w:p w14:paraId="306C3B99" w14:textId="5EBA0EEC" w:rsidR="00464C56" w:rsidRPr="00EE7434" w:rsidRDefault="00000000" w:rsidP="00DA67DB">
      <w:pPr>
        <w:pStyle w:val="ListBullet"/>
        <w:numPr>
          <w:ilvl w:val="0"/>
          <w:numId w:val="14"/>
        </w:numPr>
        <w:jc w:val="both"/>
      </w:pPr>
      <w:r w:rsidRPr="00EE7434">
        <w:t>Energy transition analysis: Endogenous renewable capacity growth and energy efficiency improvements (AEEI at 1.8% annually)</w:t>
      </w:r>
      <w:r w:rsidR="00C952AC" w:rsidRPr="00EE7434">
        <w:t xml:space="preserve">. </w:t>
      </w:r>
    </w:p>
    <w:p w14:paraId="368A4FB2" w14:textId="151D1045" w:rsidR="00BD26AC" w:rsidRPr="00EE7434" w:rsidRDefault="00BD26AC" w:rsidP="00BD26AC">
      <w:pPr>
        <w:rPr>
          <w:b/>
          <w:bCs/>
        </w:rPr>
      </w:pPr>
      <w:r w:rsidRPr="00EE7434">
        <w:rPr>
          <w:b/>
          <w:bCs/>
        </w:rPr>
        <w:t xml:space="preserve">Model Calibration </w:t>
      </w:r>
    </w:p>
    <w:p w14:paraId="357DBDF2" w14:textId="77777777" w:rsidR="00464C56" w:rsidRPr="00EE7434" w:rsidRDefault="00000000" w:rsidP="00BD26AC">
      <w:pPr>
        <w:jc w:val="both"/>
      </w:pPr>
      <w:r w:rsidRPr="00EE7434">
        <w:t>The model is calibrated to a 2021 Social Accounting Matrix (SAM) for Italy with the following key economic aggregates:</w:t>
      </w:r>
    </w:p>
    <w:p w14:paraId="33ECBDEA" w14:textId="4D4A88BE" w:rsidR="00464C56" w:rsidRPr="00EE7434" w:rsidRDefault="00000000" w:rsidP="00DA67DB">
      <w:pPr>
        <w:pStyle w:val="ListBullet"/>
        <w:numPr>
          <w:ilvl w:val="0"/>
          <w:numId w:val="13"/>
        </w:numPr>
        <w:jc w:val="both"/>
      </w:pPr>
      <w:r w:rsidRPr="00EE7434">
        <w:t>Base year GDP: €1,782 billion (2021, current prices)</w:t>
      </w:r>
      <w:r w:rsidR="00BD26AC" w:rsidRPr="00EE7434">
        <w:t>.</w:t>
      </w:r>
    </w:p>
    <w:p w14:paraId="1C3E7B0C" w14:textId="7E13810B" w:rsidR="00464C56" w:rsidRPr="00EE7434" w:rsidRDefault="00000000" w:rsidP="00DA67DB">
      <w:pPr>
        <w:pStyle w:val="ListBullet"/>
        <w:numPr>
          <w:ilvl w:val="0"/>
          <w:numId w:val="13"/>
        </w:numPr>
        <w:jc w:val="both"/>
      </w:pPr>
      <w:r w:rsidRPr="00EE7434">
        <w:t>Population: 59.13 million inhabitants</w:t>
      </w:r>
      <w:r w:rsidR="00BD26AC" w:rsidRPr="00EE7434">
        <w:t>.</w:t>
      </w:r>
    </w:p>
    <w:p w14:paraId="24034850" w14:textId="58391C33" w:rsidR="00464C56" w:rsidRPr="00EE7434" w:rsidRDefault="00000000" w:rsidP="00DA67DB">
      <w:pPr>
        <w:pStyle w:val="ListBullet"/>
        <w:numPr>
          <w:ilvl w:val="0"/>
          <w:numId w:val="13"/>
        </w:numPr>
        <w:jc w:val="both"/>
      </w:pPr>
      <w:r w:rsidRPr="00EE7434">
        <w:t xml:space="preserve">Total CO₂ emissions from fuel combustion: </w:t>
      </w:r>
      <w:r w:rsidR="003F2C54" w:rsidRPr="00EE7434">
        <w:t>32</w:t>
      </w:r>
      <w:r w:rsidR="00180D73" w:rsidRPr="00EE7434">
        <w:t>0</w:t>
      </w:r>
      <w:r w:rsidRPr="00EE7434">
        <w:t>.</w:t>
      </w:r>
      <w:r w:rsidR="00180D73" w:rsidRPr="00EE7434">
        <w:t>76</w:t>
      </w:r>
      <w:r w:rsidRPr="00EE7434">
        <w:t xml:space="preserve"> MtCO₂</w:t>
      </w:r>
      <w:r w:rsidR="00BD26AC" w:rsidRPr="00EE7434">
        <w:t>.</w:t>
      </w:r>
    </w:p>
    <w:p w14:paraId="2CF9ED72" w14:textId="605F838F" w:rsidR="00464C56" w:rsidRPr="00EE7434" w:rsidRDefault="00000000" w:rsidP="00DA67DB">
      <w:pPr>
        <w:pStyle w:val="ListBullet"/>
        <w:numPr>
          <w:ilvl w:val="0"/>
          <w:numId w:val="13"/>
        </w:numPr>
        <w:jc w:val="both"/>
      </w:pPr>
      <w:r w:rsidRPr="00EE7434">
        <w:t>Renewable electricity share: 35% (60 GW installed capacity)</w:t>
      </w:r>
      <w:r w:rsidR="00BD26AC" w:rsidRPr="00EE7434">
        <w:t>.</w:t>
      </w:r>
    </w:p>
    <w:p w14:paraId="0B16F3BA" w14:textId="3C388BFF" w:rsidR="00464C56" w:rsidRPr="00EE7434" w:rsidRDefault="00000000" w:rsidP="00DA67DB">
      <w:pPr>
        <w:pStyle w:val="ListBullet"/>
        <w:numPr>
          <w:ilvl w:val="0"/>
          <w:numId w:val="13"/>
        </w:numPr>
        <w:jc w:val="both"/>
      </w:pPr>
      <w:r w:rsidRPr="00EE7434">
        <w:t>Regional income distribution reflecting actual Italian economic geography</w:t>
      </w:r>
      <w:r w:rsidR="00BD26AC" w:rsidRPr="00EE7434">
        <w:t>.</w:t>
      </w:r>
    </w:p>
    <w:p w14:paraId="4A9CB2B2" w14:textId="77777777" w:rsidR="00BD26AC" w:rsidRPr="00EE7434" w:rsidRDefault="00BD26AC" w:rsidP="00BD26AC">
      <w:pPr>
        <w:pStyle w:val="ListBullet"/>
        <w:numPr>
          <w:ilvl w:val="0"/>
          <w:numId w:val="0"/>
        </w:numPr>
        <w:ind w:left="360" w:hanging="360"/>
        <w:jc w:val="both"/>
      </w:pPr>
    </w:p>
    <w:p w14:paraId="6A9D81D7" w14:textId="77777777" w:rsidR="00BD26AC" w:rsidRPr="00EE7434" w:rsidRDefault="00BD26AC" w:rsidP="00BD26AC">
      <w:pPr>
        <w:pStyle w:val="ListBullet"/>
        <w:numPr>
          <w:ilvl w:val="0"/>
          <w:numId w:val="0"/>
        </w:numPr>
        <w:ind w:left="360" w:hanging="360"/>
        <w:jc w:val="both"/>
      </w:pPr>
    </w:p>
    <w:p w14:paraId="6C9DD64D" w14:textId="77777777" w:rsidR="00BD26AC" w:rsidRPr="00EE7434" w:rsidRDefault="00BD26AC" w:rsidP="00BD26AC">
      <w:pPr>
        <w:pStyle w:val="ListBullet"/>
        <w:numPr>
          <w:ilvl w:val="0"/>
          <w:numId w:val="0"/>
        </w:numPr>
        <w:ind w:left="360" w:hanging="360"/>
        <w:jc w:val="both"/>
      </w:pPr>
    </w:p>
    <w:p w14:paraId="0ED809F2" w14:textId="77777777" w:rsidR="00BD26AC" w:rsidRPr="00EE7434" w:rsidRDefault="00BD26AC" w:rsidP="00BD26AC">
      <w:pPr>
        <w:pStyle w:val="ListBullet"/>
        <w:numPr>
          <w:ilvl w:val="0"/>
          <w:numId w:val="0"/>
        </w:numPr>
        <w:ind w:left="360" w:hanging="360"/>
        <w:jc w:val="both"/>
      </w:pPr>
    </w:p>
    <w:p w14:paraId="1DCDDA43" w14:textId="77777777" w:rsidR="00BD26AC" w:rsidRPr="00EE7434" w:rsidRDefault="00BD26AC" w:rsidP="00BD26AC">
      <w:pPr>
        <w:pStyle w:val="ListBullet"/>
        <w:numPr>
          <w:ilvl w:val="0"/>
          <w:numId w:val="0"/>
        </w:numPr>
        <w:ind w:left="360" w:hanging="360"/>
        <w:jc w:val="both"/>
      </w:pPr>
    </w:p>
    <w:p w14:paraId="5A39E925" w14:textId="77777777" w:rsidR="00BD26AC" w:rsidRPr="00EE7434" w:rsidRDefault="00BD26AC" w:rsidP="00BD26AC">
      <w:pPr>
        <w:pStyle w:val="ListBullet"/>
        <w:numPr>
          <w:ilvl w:val="0"/>
          <w:numId w:val="0"/>
        </w:numPr>
        <w:ind w:left="360" w:hanging="360"/>
        <w:jc w:val="both"/>
      </w:pPr>
    </w:p>
    <w:p w14:paraId="1FF88783" w14:textId="77777777" w:rsidR="00BD26AC" w:rsidRPr="00EE7434" w:rsidRDefault="00BD26AC" w:rsidP="00BD26AC">
      <w:pPr>
        <w:pStyle w:val="ListBullet"/>
        <w:numPr>
          <w:ilvl w:val="0"/>
          <w:numId w:val="0"/>
        </w:numPr>
        <w:ind w:left="360" w:hanging="360"/>
        <w:jc w:val="both"/>
      </w:pPr>
    </w:p>
    <w:p w14:paraId="0E8DBA45" w14:textId="25E53A9E" w:rsidR="005C01E6" w:rsidRPr="00EE7434" w:rsidRDefault="00B157F5" w:rsidP="001B3B6A">
      <w:pPr>
        <w:pStyle w:val="ListBullet"/>
        <w:numPr>
          <w:ilvl w:val="0"/>
          <w:numId w:val="0"/>
        </w:numPr>
        <w:ind w:left="360" w:hanging="360"/>
        <w:jc w:val="both"/>
        <w:rPr>
          <w:b/>
          <w:bCs/>
        </w:rPr>
      </w:pPr>
      <w:r w:rsidRPr="00EE7434">
        <w:rPr>
          <w:b/>
          <w:bCs/>
        </w:rPr>
        <w:lastRenderedPageBreak/>
        <w:t>Pol</w:t>
      </w:r>
      <w:r w:rsidR="005C01E6" w:rsidRPr="00EE7434">
        <w:rPr>
          <w:b/>
          <w:bCs/>
        </w:rPr>
        <w:t>icy Scenarios</w:t>
      </w:r>
    </w:p>
    <w:p w14:paraId="263A2A72" w14:textId="77777777" w:rsidR="00433498" w:rsidRPr="00EE7434" w:rsidRDefault="00433498" w:rsidP="001B3B6A">
      <w:pPr>
        <w:pStyle w:val="ListBullet"/>
        <w:numPr>
          <w:ilvl w:val="0"/>
          <w:numId w:val="0"/>
        </w:numPr>
        <w:ind w:left="360" w:hanging="360"/>
        <w:jc w:val="both"/>
        <w:rPr>
          <w:b/>
          <w:bCs/>
        </w:rPr>
      </w:pPr>
    </w:p>
    <w:p w14:paraId="7223AEDD" w14:textId="68E47634" w:rsidR="00464C56" w:rsidRPr="00EE7434" w:rsidRDefault="00000000" w:rsidP="001B3B6A">
      <w:pPr>
        <w:pStyle w:val="ListBullet"/>
        <w:numPr>
          <w:ilvl w:val="0"/>
          <w:numId w:val="0"/>
        </w:numPr>
        <w:ind w:left="360" w:hanging="360"/>
        <w:jc w:val="both"/>
      </w:pPr>
      <w:r w:rsidRPr="00EE7434">
        <w:t>Th</w:t>
      </w:r>
      <w:r w:rsidR="00433498" w:rsidRPr="00EE7434">
        <w:t>is model is built to</w:t>
      </w:r>
      <w:r w:rsidRPr="00EE7434">
        <w:t xml:space="preserve"> </w:t>
      </w:r>
      <w:r w:rsidR="00433498" w:rsidRPr="00EE7434">
        <w:t>analyse</w:t>
      </w:r>
      <w:r w:rsidRPr="00EE7434">
        <w:t xml:space="preserve"> three distinct policy scenarios:</w:t>
      </w:r>
    </w:p>
    <w:p w14:paraId="5DF8554F" w14:textId="77777777" w:rsidR="00464C56" w:rsidRPr="00EE7434" w:rsidRDefault="00000000" w:rsidP="001B3B6A">
      <w:pPr>
        <w:jc w:val="both"/>
      </w:pPr>
      <w:r w:rsidRPr="00EE7434">
        <w:rPr>
          <w:b/>
        </w:rPr>
        <w:t xml:space="preserve">Business-as-Usual (BAU): </w:t>
      </w:r>
      <w:r w:rsidRPr="00EE7434">
        <w:t>Baseline projection without additional carbon pricing beyond existing policies. Includes autonomous energy efficiency improvements (1.8% annual AEEI) and natural renewable capacity growth reaching approximately 70% electricity share by 2040.</w:t>
      </w:r>
    </w:p>
    <w:p w14:paraId="1F39C031" w14:textId="37880D2C" w:rsidR="00B31B6C" w:rsidRPr="00EE7434" w:rsidRDefault="00B31B6C" w:rsidP="001B3B6A">
      <w:pPr>
        <w:jc w:val="both"/>
      </w:pPr>
      <w:r w:rsidRPr="00EE7434">
        <w:rPr>
          <w:b/>
          <w:bCs/>
        </w:rPr>
        <w:t>ETS1</w:t>
      </w:r>
      <w:r w:rsidRPr="00EE7434">
        <w:rPr>
          <w:b/>
          <w:bCs/>
        </w:rPr>
        <w:t xml:space="preserve">: </w:t>
      </w:r>
      <w:r w:rsidRPr="00EE7434">
        <w:rPr>
          <w:b/>
          <w:bCs/>
        </w:rPr>
        <w:t>EU ETS Phase 4 (Industry):</w:t>
      </w:r>
      <w:r w:rsidRPr="00EE7434">
        <w:t xml:space="preserve"> Implementation of the EU Emissions Trading System Phase 4 for industrial sectors, gas, other energy, and aviation/maritime transport. Carbon pricing starts at €53.90/tCO₂ in 2021 (the actual EU ETS price), with the Market Stability Reserve (MSR) mechanism managing supply. The price is expected to reach approximately €150/tCO₂ by 2040. Renewable electricity share is expected to exceed 80% by 2040, driven by a 35% acceleration in investment.</w:t>
      </w:r>
    </w:p>
    <w:p w14:paraId="059F16E1" w14:textId="123B6EDE" w:rsidR="00433498" w:rsidRPr="00EE7434" w:rsidRDefault="00A078BE" w:rsidP="001B3B6A">
      <w:pPr>
        <w:jc w:val="both"/>
      </w:pPr>
      <w:r w:rsidRPr="00EE7434">
        <w:rPr>
          <w:b/>
          <w:bCs/>
        </w:rPr>
        <w:t>ETS2</w:t>
      </w:r>
      <w:r w:rsidRPr="00EE7434">
        <w:rPr>
          <w:b/>
          <w:bCs/>
        </w:rPr>
        <w:t xml:space="preserve">: </w:t>
      </w:r>
      <w:r w:rsidRPr="00EE7434">
        <w:rPr>
          <w:b/>
          <w:bCs/>
        </w:rPr>
        <w:t>Extended Coverage (Buildings &amp; Transport) Extended</w:t>
      </w:r>
      <w:r w:rsidRPr="00EE7434">
        <w:t xml:space="preserve"> -</w:t>
      </w:r>
      <w:r w:rsidRPr="00EE7434">
        <w:t xml:space="preserve"> ETS coverage to buildings and road/other transport starting in 2027. ETS2 carbon pricing begins at €45.0/tCO₂, with Price Stability Mechanism (PSM) maintaining a ceiling at €45/tCO₂. Combined with ETS1, provides comprehensive decarbonisation with 60% renewable investment acceleration (80% in South/Islands). Renewable electricity share exceeds 90% by 2040, with the strongest support for a just transition.</w:t>
      </w:r>
    </w:p>
    <w:p w14:paraId="2536BD73" w14:textId="7E81E4FC" w:rsidR="00433498" w:rsidRPr="00EE7434" w:rsidRDefault="00B80BAA" w:rsidP="001B3B6A">
      <w:pPr>
        <w:jc w:val="both"/>
        <w:rPr>
          <w:b/>
          <w:bCs/>
        </w:rPr>
      </w:pPr>
      <w:r w:rsidRPr="00EE7434">
        <w:rPr>
          <w:b/>
          <w:bCs/>
        </w:rPr>
        <w:t>Key Findings</w:t>
      </w:r>
    </w:p>
    <w:p w14:paraId="17B17537" w14:textId="4B25B7B5" w:rsidR="00464C56" w:rsidRPr="00EE7434" w:rsidRDefault="00000000" w:rsidP="001B3B6A">
      <w:pPr>
        <w:jc w:val="both"/>
      </w:pPr>
      <w:r w:rsidRPr="00EE7434">
        <w:t xml:space="preserve">The model simulations reveal </w:t>
      </w:r>
      <w:r w:rsidR="00251906" w:rsidRPr="00EE7434">
        <w:t>essential insights</w:t>
      </w:r>
      <w:r w:rsidR="00251906" w:rsidRPr="00EE7434">
        <w:t xml:space="preserve"> </w:t>
      </w:r>
      <w:r w:rsidRPr="00EE7434">
        <w:t>into the economic and environmental trade-offs of decarbonization policies in Italy:</w:t>
      </w:r>
    </w:p>
    <w:p w14:paraId="0DEA8771" w14:textId="0105744C" w:rsidR="00464C56" w:rsidRPr="00EE7434" w:rsidRDefault="00000000" w:rsidP="001B3B6A">
      <w:pPr>
        <w:pStyle w:val="ListBullet"/>
        <w:jc w:val="both"/>
      </w:pPr>
      <w:r w:rsidRPr="00EE7434">
        <w:t>Progressive carbon pricing under ETS1 and ETS2 drives significant emissions reductions while maintaining economic growth through revenue recycling and targeted regional support</w:t>
      </w:r>
      <w:r w:rsidR="00251906" w:rsidRPr="00EE7434">
        <w:t>.</w:t>
      </w:r>
    </w:p>
    <w:p w14:paraId="795A9FF6" w14:textId="494B3D68" w:rsidR="00464C56" w:rsidRPr="00EE7434" w:rsidRDefault="00000000" w:rsidP="001B3B6A">
      <w:pPr>
        <w:pStyle w:val="ListBullet"/>
        <w:jc w:val="both"/>
      </w:pPr>
      <w:r w:rsidRPr="00EE7434">
        <w:t>Regional impacts vary substantially, with southern regions and islands requiring enhanced support mechanisms to ensure a just transition</w:t>
      </w:r>
      <w:r w:rsidR="00251906" w:rsidRPr="00EE7434">
        <w:t>.</w:t>
      </w:r>
    </w:p>
    <w:p w14:paraId="24B79D20" w14:textId="626E6704" w:rsidR="00464C56" w:rsidRPr="00EE7434" w:rsidRDefault="00000000" w:rsidP="001B3B6A">
      <w:pPr>
        <w:pStyle w:val="ListBullet"/>
        <w:jc w:val="both"/>
      </w:pPr>
      <w:r w:rsidRPr="00EE7434">
        <w:t xml:space="preserve">Renewable energy investment accelerates dramatically under carbon pricing scenarios, with </w:t>
      </w:r>
      <w:r w:rsidR="001B3B6A" w:rsidRPr="00EE7434">
        <w:t xml:space="preserve">the </w:t>
      </w:r>
      <w:r w:rsidRPr="00EE7434">
        <w:t>electricity sector reaching 80-90% renewable share by 2040</w:t>
      </w:r>
    </w:p>
    <w:p w14:paraId="331398BC" w14:textId="407300E9" w:rsidR="00464C56" w:rsidRPr="00EE7434" w:rsidRDefault="00000000" w:rsidP="001B3B6A">
      <w:pPr>
        <w:pStyle w:val="ListBullet"/>
        <w:jc w:val="both"/>
      </w:pPr>
      <w:r w:rsidRPr="00EE7434">
        <w:t>Energy efficiency improvements (AEEI) play a crucial role in reducing energy demand and mitigating carbon costs across all scenarios</w:t>
      </w:r>
      <w:r w:rsidR="001B3B6A" w:rsidRPr="00EE7434">
        <w:t>.</w:t>
      </w:r>
    </w:p>
    <w:p w14:paraId="11D74269" w14:textId="122A8E40" w:rsidR="00464C56" w:rsidRPr="00EE7434" w:rsidRDefault="00000000" w:rsidP="001B3B6A">
      <w:pPr>
        <w:pStyle w:val="ListBullet"/>
        <w:jc w:val="both"/>
      </w:pPr>
      <w:r w:rsidRPr="00EE7434">
        <w:t>The Price Stability Mechanism in ETS2 provides price predictability for households and transport sectors while maintaining decarbonization incentives</w:t>
      </w:r>
      <w:r w:rsidR="001B3B6A" w:rsidRPr="00EE7434">
        <w:t xml:space="preserve">. </w:t>
      </w:r>
    </w:p>
    <w:p w14:paraId="2ACD3467" w14:textId="77777777" w:rsidR="001B3B6A" w:rsidRPr="00EE7434" w:rsidRDefault="001B3B6A" w:rsidP="001B3B6A">
      <w:pPr>
        <w:pStyle w:val="ListBullet"/>
        <w:numPr>
          <w:ilvl w:val="0"/>
          <w:numId w:val="0"/>
        </w:numPr>
        <w:ind w:left="360" w:hanging="360"/>
        <w:jc w:val="both"/>
      </w:pPr>
    </w:p>
    <w:p w14:paraId="0AE94EDB" w14:textId="77777777" w:rsidR="001B3B6A" w:rsidRPr="00EE7434" w:rsidRDefault="001B3B6A" w:rsidP="001B3B6A">
      <w:pPr>
        <w:pStyle w:val="ListBullet"/>
        <w:numPr>
          <w:ilvl w:val="0"/>
          <w:numId w:val="0"/>
        </w:numPr>
        <w:ind w:left="360" w:hanging="360"/>
        <w:jc w:val="both"/>
      </w:pPr>
    </w:p>
    <w:p w14:paraId="3C95AB67" w14:textId="77777777" w:rsidR="001B3B6A" w:rsidRPr="00EE7434" w:rsidRDefault="001B3B6A" w:rsidP="001B3B6A">
      <w:pPr>
        <w:pStyle w:val="ListBullet"/>
        <w:numPr>
          <w:ilvl w:val="0"/>
          <w:numId w:val="0"/>
        </w:numPr>
        <w:ind w:left="360" w:hanging="360"/>
        <w:jc w:val="both"/>
      </w:pPr>
    </w:p>
    <w:p w14:paraId="218C0FF8" w14:textId="3D825B43" w:rsidR="001B3B6A" w:rsidRPr="00EE7434" w:rsidRDefault="002A0EC7" w:rsidP="001B3B6A">
      <w:pPr>
        <w:pStyle w:val="ListBullet"/>
        <w:numPr>
          <w:ilvl w:val="0"/>
          <w:numId w:val="0"/>
        </w:numPr>
        <w:ind w:left="360" w:hanging="360"/>
        <w:jc w:val="both"/>
        <w:rPr>
          <w:b/>
          <w:bCs/>
        </w:rPr>
      </w:pPr>
      <w:r w:rsidRPr="00EE7434">
        <w:rPr>
          <w:b/>
          <w:bCs/>
        </w:rPr>
        <w:lastRenderedPageBreak/>
        <w:t xml:space="preserve">2. </w:t>
      </w:r>
      <w:r w:rsidR="001B3B6A" w:rsidRPr="00EE7434">
        <w:rPr>
          <w:b/>
          <w:bCs/>
        </w:rPr>
        <w:t xml:space="preserve">Introduction </w:t>
      </w:r>
    </w:p>
    <w:p w14:paraId="336DA2C3" w14:textId="77777777" w:rsidR="002A0EC7" w:rsidRPr="00EE7434" w:rsidRDefault="002A0EC7" w:rsidP="001B3B6A">
      <w:pPr>
        <w:pStyle w:val="ListBullet"/>
        <w:numPr>
          <w:ilvl w:val="0"/>
          <w:numId w:val="0"/>
        </w:numPr>
        <w:ind w:left="360" w:hanging="360"/>
        <w:jc w:val="both"/>
        <w:rPr>
          <w:b/>
          <w:bCs/>
        </w:rPr>
      </w:pPr>
    </w:p>
    <w:p w14:paraId="650F204F" w14:textId="5D8FDB50" w:rsidR="002A0EC7" w:rsidRPr="00EE7434" w:rsidRDefault="002A0EC7" w:rsidP="001B3B6A">
      <w:pPr>
        <w:pStyle w:val="ListBullet"/>
        <w:numPr>
          <w:ilvl w:val="0"/>
          <w:numId w:val="0"/>
        </w:numPr>
        <w:ind w:left="360" w:hanging="360"/>
        <w:jc w:val="both"/>
        <w:rPr>
          <w:b/>
          <w:bCs/>
        </w:rPr>
      </w:pPr>
      <w:r w:rsidRPr="00EE7434">
        <w:rPr>
          <w:b/>
          <w:bCs/>
        </w:rPr>
        <w:t>2.1 Back</w:t>
      </w:r>
      <w:r w:rsidR="00C01485" w:rsidRPr="00EE7434">
        <w:rPr>
          <w:b/>
          <w:bCs/>
        </w:rPr>
        <w:t xml:space="preserve">ground and Motivation </w:t>
      </w:r>
    </w:p>
    <w:p w14:paraId="796D0069" w14:textId="77777777" w:rsidR="00235A2B" w:rsidRPr="00EE7434" w:rsidRDefault="00235A2B" w:rsidP="00235A2B">
      <w:pPr>
        <w:jc w:val="both"/>
      </w:pPr>
      <w:r w:rsidRPr="00EE7434">
        <w:t>Italy faces significant challenges in meeting its climate commitments under the European Green Deal and the Paris Agreement. As one of the largest economies in the European Union, Italy must achieve climate neutrality by 2050 while managing the economic and social implications of the energy transition. The country's diverse regional economies, ranging from the industrialised North to the less developed South and Islands, present unique challenges for policy design and implementation.</w:t>
      </w:r>
    </w:p>
    <w:p w14:paraId="65B5BD9C" w14:textId="77777777" w:rsidR="00235A2B" w:rsidRPr="00EE7434" w:rsidRDefault="00235A2B" w:rsidP="00235A2B">
      <w:pPr>
        <w:jc w:val="both"/>
      </w:pPr>
      <w:r w:rsidRPr="00EE7434">
        <w:t>The European Union's climate policy framework, particularly the EU Emissions Trading System (EU ETS), provides the primary market-based mechanism for emissions reduction. Phase 4 of the EU ETS (2021-2030) introduced more stringent reduction targets and the Market Stability Reserve to manage the supply of allowances. Furthermore, the proposed extension to buildings and transport sectors (ETS2) from 2027 represents a significant expansion of carbon pricing coverage, with potential implications for households and regional equity.</w:t>
      </w:r>
    </w:p>
    <w:p w14:paraId="2A2A3142" w14:textId="73B4889C" w:rsidR="006904AF" w:rsidRPr="00EE7434" w:rsidRDefault="00235A2B" w:rsidP="00620D8E">
      <w:pPr>
        <w:jc w:val="both"/>
      </w:pPr>
      <w:r w:rsidRPr="00EE7434">
        <w:t>Against this backdrop, integrated assessment models that can analyse the complex interactions between economic activity, energy systems, and environmental outcomes are essential tools for policy analysis. Computable General Equilibrium (CGE) models, in particular, provide a rigorous framework for assessing economy-wide impacts of climate policies while accounting for market interactions, sectoral linkages, and distributional effects.</w:t>
      </w:r>
    </w:p>
    <w:p w14:paraId="20352358" w14:textId="6D8F70C5" w:rsidR="006904AF" w:rsidRPr="00EE7434" w:rsidRDefault="00620D8E" w:rsidP="00C01485">
      <w:pPr>
        <w:rPr>
          <w:b/>
          <w:bCs/>
        </w:rPr>
      </w:pPr>
      <w:r w:rsidRPr="00EE7434">
        <w:rPr>
          <w:b/>
          <w:bCs/>
        </w:rPr>
        <w:t>2.2 Model Overview</w:t>
      </w:r>
    </w:p>
    <w:p w14:paraId="70C62B0B" w14:textId="166C0F0E" w:rsidR="006904AF" w:rsidRPr="00EE7434" w:rsidRDefault="00622822" w:rsidP="00AC4C98">
      <w:pPr>
        <w:jc w:val="both"/>
      </w:pPr>
      <w:r w:rsidRPr="00EE7434">
        <w:t>The CGE-I5 model is a recursive dynamic computable general equilibrium model designed explicitly for Italy with explicit regional disaggregation. The model builds on the tradition of multi-sectoral CGE models (Lofgren et al., 2002) while incorporating key features from energy-economy-environment models such as ThreeME (</w:t>
      </w:r>
      <w:proofErr w:type="spellStart"/>
      <w:r w:rsidRPr="00EE7434">
        <w:t>Callonnec</w:t>
      </w:r>
      <w:proofErr w:type="spellEnd"/>
      <w:r w:rsidRPr="00EE7434">
        <w:t xml:space="preserve"> et al., 2013) and the GTAP-E framework (Burniaux &amp; Truong, 2002).</w:t>
      </w:r>
    </w:p>
    <w:p w14:paraId="5568B8C8" w14:textId="77777777" w:rsidR="00753A55" w:rsidRPr="00EE7434" w:rsidRDefault="00753A55" w:rsidP="00753A55">
      <w:r w:rsidRPr="00EE7434">
        <w:t>The model's distinguishing features include:</w:t>
      </w:r>
    </w:p>
    <w:p w14:paraId="2D85A6AD" w14:textId="6C93D8AE" w:rsidR="00753A55" w:rsidRPr="00EE7434" w:rsidRDefault="00753A55" w:rsidP="00753A55">
      <w:pPr>
        <w:pStyle w:val="ListParagraph"/>
        <w:numPr>
          <w:ilvl w:val="0"/>
          <w:numId w:val="15"/>
        </w:numPr>
        <w:jc w:val="both"/>
      </w:pPr>
      <w:r w:rsidRPr="00EE7434">
        <w:t>Regional disaggregation: Five macro-regions representing Italy's diverse economic geography (Northwest, Northeast, Centre, South, Islands)</w:t>
      </w:r>
      <w:r w:rsidR="000C2290" w:rsidRPr="00EE7434">
        <w:t xml:space="preserve">. </w:t>
      </w:r>
    </w:p>
    <w:p w14:paraId="7B580267" w14:textId="667058F7" w:rsidR="00753A55" w:rsidRPr="00EE7434" w:rsidRDefault="00753A55" w:rsidP="00753A55">
      <w:pPr>
        <w:pStyle w:val="ListParagraph"/>
        <w:numPr>
          <w:ilvl w:val="0"/>
          <w:numId w:val="15"/>
        </w:numPr>
        <w:jc w:val="both"/>
      </w:pPr>
      <w:r w:rsidRPr="00EE7434">
        <w:t xml:space="preserve">Sectoral structure: </w:t>
      </w:r>
      <w:r w:rsidR="00767D57" w:rsidRPr="00EE7434">
        <w:t>5</w:t>
      </w:r>
      <w:r w:rsidRPr="00EE7434">
        <w:t xml:space="preserve"> production sectors with detailed disaggregation of energy (renewables, gas, other energy) and transport (road, rail, air, water, other)</w:t>
      </w:r>
      <w:r w:rsidR="000C2290" w:rsidRPr="00EE7434">
        <w:t xml:space="preserve">. </w:t>
      </w:r>
    </w:p>
    <w:p w14:paraId="7A611529" w14:textId="03492A33" w:rsidR="00753A55" w:rsidRPr="00EE7434" w:rsidRDefault="00753A55" w:rsidP="00753A55">
      <w:pPr>
        <w:pStyle w:val="ListParagraph"/>
        <w:numPr>
          <w:ilvl w:val="0"/>
          <w:numId w:val="15"/>
        </w:numPr>
        <w:jc w:val="both"/>
      </w:pPr>
      <w:r w:rsidRPr="00EE7434">
        <w:t>Production technology: Nested Constant Elasticity of Substitution (CES) production functions with Capital-Labour-Energy-Materials (KLEM) structure, allowing for substitution between factors in response to price changes</w:t>
      </w:r>
      <w:r w:rsidR="000C2290" w:rsidRPr="00EE7434">
        <w:t xml:space="preserve">. </w:t>
      </w:r>
    </w:p>
    <w:p w14:paraId="7975CDE3" w14:textId="0D158B50" w:rsidR="00753A55" w:rsidRPr="00EE7434" w:rsidRDefault="00753A55" w:rsidP="00753A55">
      <w:pPr>
        <w:pStyle w:val="ListParagraph"/>
        <w:numPr>
          <w:ilvl w:val="0"/>
          <w:numId w:val="15"/>
        </w:numPr>
        <w:jc w:val="both"/>
      </w:pPr>
      <w:r w:rsidRPr="00EE7434">
        <w:lastRenderedPageBreak/>
        <w:t>Energy-environment module: Explicit tracking of CO₂ emissions by sector and energy carrier, with emission factors calibrated to Italian 2021 data (ISPRA, 2022)</w:t>
      </w:r>
      <w:r w:rsidR="000C2290" w:rsidRPr="00EE7434">
        <w:t xml:space="preserve">. </w:t>
      </w:r>
    </w:p>
    <w:p w14:paraId="37687161" w14:textId="56EEC013" w:rsidR="00753A55" w:rsidRPr="00EE7434" w:rsidRDefault="00753A55" w:rsidP="00753A55">
      <w:pPr>
        <w:pStyle w:val="ListParagraph"/>
        <w:numPr>
          <w:ilvl w:val="0"/>
          <w:numId w:val="15"/>
        </w:numPr>
        <w:jc w:val="both"/>
      </w:pPr>
      <w:r w:rsidRPr="00EE7434">
        <w:t>Climate policy instruments: Detailed representation of EU ETS Phase 4 and proposed ETS2, including Market Stability Reserve and Price Stability Mechanism</w:t>
      </w:r>
      <w:r w:rsidR="000C2290" w:rsidRPr="00EE7434">
        <w:t xml:space="preserve">. </w:t>
      </w:r>
    </w:p>
    <w:p w14:paraId="3CD27014" w14:textId="2D172407" w:rsidR="00753A55" w:rsidRPr="00EE7434" w:rsidRDefault="00753A55" w:rsidP="00753A55">
      <w:pPr>
        <w:pStyle w:val="ListParagraph"/>
        <w:numPr>
          <w:ilvl w:val="0"/>
          <w:numId w:val="15"/>
        </w:numPr>
        <w:jc w:val="both"/>
      </w:pPr>
      <w:r w:rsidRPr="00EE7434">
        <w:t xml:space="preserve">Recursive dynamics: Forward-looking simulation from 2021 to 2040 with capital accumulation, </w:t>
      </w:r>
      <w:proofErr w:type="spellStart"/>
      <w:r w:rsidRPr="00EE7434">
        <w:t>labor</w:t>
      </w:r>
      <w:proofErr w:type="spellEnd"/>
      <w:r w:rsidRPr="00EE7434">
        <w:t xml:space="preserve"> force changes, and productivity growth</w:t>
      </w:r>
      <w:r w:rsidR="000C2290" w:rsidRPr="00EE7434">
        <w:t xml:space="preserve">. </w:t>
      </w:r>
    </w:p>
    <w:p w14:paraId="0C340D7B" w14:textId="6DCF6DE5" w:rsidR="00753A55" w:rsidRPr="00EE7434" w:rsidRDefault="00753A55" w:rsidP="00753A55">
      <w:pPr>
        <w:pStyle w:val="ListParagraph"/>
        <w:numPr>
          <w:ilvl w:val="0"/>
          <w:numId w:val="15"/>
        </w:numPr>
        <w:jc w:val="both"/>
      </w:pPr>
      <w:r w:rsidRPr="00EE7434">
        <w:t>Trade specification: Armington assumption for imports and Constant Elasticity of Transformation (CET) for exports, allowing for imperfect substitution in international trade</w:t>
      </w:r>
      <w:r w:rsidR="000C2290" w:rsidRPr="00EE7434">
        <w:t xml:space="preserve">. </w:t>
      </w:r>
    </w:p>
    <w:p w14:paraId="62041E94" w14:textId="72BBCE7E" w:rsidR="000C2290" w:rsidRPr="00EE7434" w:rsidRDefault="000C2290" w:rsidP="000C2290">
      <w:pPr>
        <w:jc w:val="both"/>
        <w:rPr>
          <w:b/>
          <w:bCs/>
        </w:rPr>
      </w:pPr>
      <w:r w:rsidRPr="00EE7434">
        <w:rPr>
          <w:b/>
          <w:bCs/>
        </w:rPr>
        <w:t xml:space="preserve">2.3 Objectives and Scope </w:t>
      </w:r>
    </w:p>
    <w:p w14:paraId="165EC08A" w14:textId="117B85C8" w:rsidR="00464C56" w:rsidRPr="00EE7434" w:rsidRDefault="00000000" w:rsidP="006153B9">
      <w:pPr>
        <w:jc w:val="both"/>
      </w:pPr>
      <w:r w:rsidRPr="00EE7434">
        <w:t>The primary objectives of the CGE-I5 model are to:</w:t>
      </w:r>
    </w:p>
    <w:p w14:paraId="4C0D195E" w14:textId="2F64358B" w:rsidR="00464C56" w:rsidRPr="00EE7434" w:rsidRDefault="00000000" w:rsidP="006153B9">
      <w:pPr>
        <w:pStyle w:val="ListBullet"/>
        <w:jc w:val="both"/>
      </w:pPr>
      <w:r w:rsidRPr="00EE7434">
        <w:t>Assess the macroeconomic impacts of carbon pricing policies under EU ETS Phase 4 and its extension to buildings and transport</w:t>
      </w:r>
      <w:r w:rsidR="006153B9" w:rsidRPr="00EE7434">
        <w:t xml:space="preserve">. </w:t>
      </w:r>
    </w:p>
    <w:p w14:paraId="2D92FD92" w14:textId="32BBFF1F" w:rsidR="00464C56" w:rsidRPr="00EE7434" w:rsidRDefault="00000000" w:rsidP="006153B9">
      <w:pPr>
        <w:pStyle w:val="ListBullet"/>
        <w:jc w:val="both"/>
      </w:pPr>
      <w:r w:rsidRPr="00EE7434">
        <w:t>Quantify sectoral and regional distributional effects of decarbonization policies across Italy's diverse economic landscape</w:t>
      </w:r>
      <w:r w:rsidR="006153B9" w:rsidRPr="00EE7434">
        <w:t xml:space="preserve">. </w:t>
      </w:r>
    </w:p>
    <w:p w14:paraId="7B169C62" w14:textId="486C4138" w:rsidR="00464C56" w:rsidRPr="00EE7434" w:rsidRDefault="00000000" w:rsidP="006153B9">
      <w:pPr>
        <w:pStyle w:val="ListBullet"/>
        <w:jc w:val="both"/>
      </w:pPr>
      <w:r w:rsidRPr="00EE7434">
        <w:t>Analy</w:t>
      </w:r>
      <w:r w:rsidR="00BA7280" w:rsidRPr="00EE7434">
        <w:t>s</w:t>
      </w:r>
      <w:r w:rsidRPr="00EE7434">
        <w:t>e energy system transitions, including renewable energy deployment, energy efficiency improvements, and fuel switching</w:t>
      </w:r>
      <w:r w:rsidR="006153B9" w:rsidRPr="00EE7434">
        <w:t xml:space="preserve">. </w:t>
      </w:r>
    </w:p>
    <w:p w14:paraId="2D7A4D58" w14:textId="5C087542" w:rsidR="00464C56" w:rsidRPr="00EE7434" w:rsidRDefault="00000000" w:rsidP="006153B9">
      <w:pPr>
        <w:pStyle w:val="ListBullet"/>
        <w:jc w:val="both"/>
      </w:pPr>
      <w:r w:rsidRPr="00EE7434">
        <w:t>Evaluate CO₂ emission reduction pathways under different policy scenarios and their consistency with Italian and EU climate targets</w:t>
      </w:r>
      <w:r w:rsidR="006153B9" w:rsidRPr="00EE7434">
        <w:t xml:space="preserve">. </w:t>
      </w:r>
    </w:p>
    <w:p w14:paraId="47F5F89E" w14:textId="2167483C" w:rsidR="00464C56" w:rsidRPr="00EE7434" w:rsidRDefault="00000000" w:rsidP="006153B9">
      <w:pPr>
        <w:pStyle w:val="ListBullet"/>
        <w:jc w:val="both"/>
      </w:pPr>
      <w:r w:rsidRPr="00EE7434">
        <w:t>Identify regional disparities in climate policy impacts and inform the design of just transition mechanisms</w:t>
      </w:r>
      <w:r w:rsidR="006153B9" w:rsidRPr="00EE7434">
        <w:t xml:space="preserve">. </w:t>
      </w:r>
    </w:p>
    <w:p w14:paraId="424FA276" w14:textId="5E1091FF" w:rsidR="00464C56" w:rsidRPr="00EE7434" w:rsidRDefault="00000000" w:rsidP="006153B9">
      <w:pPr>
        <w:pStyle w:val="ListBullet"/>
        <w:jc w:val="both"/>
      </w:pPr>
      <w:r w:rsidRPr="00EE7434">
        <w:t>Provide evidence-based insights for policymakers on the economic and environmental trade-offs of alternative decarbonization strategies</w:t>
      </w:r>
      <w:r w:rsidR="006153B9" w:rsidRPr="00EE7434">
        <w:t xml:space="preserve">. </w:t>
      </w:r>
    </w:p>
    <w:p w14:paraId="04185346" w14:textId="77777777" w:rsidR="00464C56" w:rsidRPr="00EE7434" w:rsidRDefault="00000000" w:rsidP="00BA7280">
      <w:pPr>
        <w:jc w:val="both"/>
      </w:pPr>
      <w:r w:rsidRPr="00EE7434">
        <w:t>The temporal scope of the model extends from 2021 (base year) to 2040, covering the crucial period for implementing EU climate policies and achieving interim 2030 targets. The model operates with annual time steps, allowing for detailed tracking of economic and environmental indicators over time.</w:t>
      </w:r>
    </w:p>
    <w:p w14:paraId="343F6611" w14:textId="7C981B97" w:rsidR="00464C56" w:rsidRPr="00EE7434" w:rsidRDefault="0051761A" w:rsidP="0051761A">
      <w:pPr>
        <w:jc w:val="both"/>
        <w:rPr>
          <w:b/>
          <w:bCs/>
        </w:rPr>
      </w:pPr>
      <w:r w:rsidRPr="00EE7434">
        <w:rPr>
          <w:b/>
          <w:bCs/>
        </w:rPr>
        <w:t xml:space="preserve">2.4 Regional Disaggregation </w:t>
      </w:r>
    </w:p>
    <w:p w14:paraId="7F3B7882" w14:textId="77777777" w:rsidR="00464C56" w:rsidRPr="00EE7434" w:rsidRDefault="00000000" w:rsidP="0051761A">
      <w:pPr>
        <w:jc w:val="both"/>
      </w:pPr>
      <w:r w:rsidRPr="00EE7434">
        <w:t>A key innovation of the CGE-I5 model is its explicit representation of Italy's five macro-regions, which capture the country's significant regional economic heterogeneity:</w:t>
      </w:r>
    </w:p>
    <w:tbl>
      <w:tblPr>
        <w:tblStyle w:val="LightGrid-Accent1"/>
        <w:tblW w:w="0" w:type="auto"/>
        <w:tblInd w:w="198" w:type="dxa"/>
        <w:tblLook w:val="04A0" w:firstRow="1" w:lastRow="0" w:firstColumn="1" w:lastColumn="0" w:noHBand="0" w:noVBand="1"/>
      </w:tblPr>
      <w:tblGrid>
        <w:gridCol w:w="1962"/>
        <w:gridCol w:w="2160"/>
        <w:gridCol w:w="2160"/>
        <w:gridCol w:w="1908"/>
      </w:tblGrid>
      <w:tr w:rsidR="00464C56" w:rsidRPr="00EE7434" w14:paraId="2DE19B80" w14:textId="77777777" w:rsidTr="002E4E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2" w:type="dxa"/>
          </w:tcPr>
          <w:p w14:paraId="278B075E" w14:textId="77777777" w:rsidR="00464C56" w:rsidRPr="00EE7434" w:rsidRDefault="00000000">
            <w:r w:rsidRPr="00EE7434">
              <w:t>Region</w:t>
            </w:r>
          </w:p>
        </w:tc>
        <w:tc>
          <w:tcPr>
            <w:tcW w:w="2160" w:type="dxa"/>
          </w:tcPr>
          <w:p w14:paraId="1BA6699B" w14:textId="77777777" w:rsidR="00464C56" w:rsidRPr="00EE7434" w:rsidRDefault="00000000">
            <w:pPr>
              <w:cnfStyle w:val="100000000000" w:firstRow="1" w:lastRow="0" w:firstColumn="0" w:lastColumn="0" w:oddVBand="0" w:evenVBand="0" w:oddHBand="0" w:evenHBand="0" w:firstRowFirstColumn="0" w:firstRowLastColumn="0" w:lastRowFirstColumn="0" w:lastRowLastColumn="0"/>
            </w:pPr>
            <w:r w:rsidRPr="00EE7434">
              <w:t>Regions Included</w:t>
            </w:r>
          </w:p>
        </w:tc>
        <w:tc>
          <w:tcPr>
            <w:tcW w:w="2160" w:type="dxa"/>
          </w:tcPr>
          <w:p w14:paraId="5A2E2B96" w14:textId="77777777" w:rsidR="00464C56" w:rsidRPr="00EE7434" w:rsidRDefault="00000000">
            <w:pPr>
              <w:cnfStyle w:val="100000000000" w:firstRow="1" w:lastRow="0" w:firstColumn="0" w:lastColumn="0" w:oddVBand="0" w:evenVBand="0" w:oddHBand="0" w:evenHBand="0" w:firstRowFirstColumn="0" w:firstRowLastColumn="0" w:lastRowFirstColumn="0" w:lastRowLastColumn="0"/>
            </w:pPr>
            <w:r w:rsidRPr="00EE7434">
              <w:t>Population Share</w:t>
            </w:r>
          </w:p>
        </w:tc>
        <w:tc>
          <w:tcPr>
            <w:tcW w:w="1908" w:type="dxa"/>
          </w:tcPr>
          <w:p w14:paraId="384AEFE3" w14:textId="77777777" w:rsidR="00464C56" w:rsidRPr="00EE7434" w:rsidRDefault="00000000">
            <w:pPr>
              <w:cnfStyle w:val="100000000000" w:firstRow="1" w:lastRow="0" w:firstColumn="0" w:lastColumn="0" w:oddVBand="0" w:evenVBand="0" w:oddHBand="0" w:evenHBand="0" w:firstRowFirstColumn="0" w:firstRowLastColumn="0" w:lastRowFirstColumn="0" w:lastRowLastColumn="0"/>
            </w:pPr>
            <w:r w:rsidRPr="00EE7434">
              <w:t>Key Characteristics</w:t>
            </w:r>
          </w:p>
        </w:tc>
      </w:tr>
      <w:tr w:rsidR="00464C56" w:rsidRPr="00EE7434" w14:paraId="1A4B3451" w14:textId="77777777" w:rsidTr="002E4E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2" w:type="dxa"/>
          </w:tcPr>
          <w:p w14:paraId="431754A4" w14:textId="77777777" w:rsidR="00464C56" w:rsidRPr="00EE7434" w:rsidRDefault="00000000">
            <w:r w:rsidRPr="00EE7434">
              <w:t>Northwest (NW)</w:t>
            </w:r>
          </w:p>
        </w:tc>
        <w:tc>
          <w:tcPr>
            <w:tcW w:w="2160" w:type="dxa"/>
          </w:tcPr>
          <w:p w14:paraId="7116FAEE" w14:textId="77777777" w:rsidR="00464C56" w:rsidRPr="00EE7434" w:rsidRDefault="00000000">
            <w:pPr>
              <w:cnfStyle w:val="000000100000" w:firstRow="0" w:lastRow="0" w:firstColumn="0" w:lastColumn="0" w:oddVBand="0" w:evenVBand="0" w:oddHBand="1" w:evenHBand="0" w:firstRowFirstColumn="0" w:firstRowLastColumn="0" w:lastRowFirstColumn="0" w:lastRowLastColumn="0"/>
            </w:pPr>
            <w:r w:rsidRPr="00EE7434">
              <w:t>Lombardy, Piedmont, Valle d'Aosta, Liguria</w:t>
            </w:r>
          </w:p>
        </w:tc>
        <w:tc>
          <w:tcPr>
            <w:tcW w:w="2160" w:type="dxa"/>
          </w:tcPr>
          <w:p w14:paraId="19A5771F" w14:textId="77777777" w:rsidR="00464C56" w:rsidRPr="00EE7434" w:rsidRDefault="00000000">
            <w:pPr>
              <w:cnfStyle w:val="000000100000" w:firstRow="0" w:lastRow="0" w:firstColumn="0" w:lastColumn="0" w:oddVBand="0" w:evenVBand="0" w:oddHBand="1" w:evenHBand="0" w:firstRowFirstColumn="0" w:firstRowLastColumn="0" w:lastRowFirstColumn="0" w:lastRowLastColumn="0"/>
            </w:pPr>
            <w:r w:rsidRPr="00EE7434">
              <w:t>26.9%</w:t>
            </w:r>
          </w:p>
        </w:tc>
        <w:tc>
          <w:tcPr>
            <w:tcW w:w="1908" w:type="dxa"/>
          </w:tcPr>
          <w:p w14:paraId="7BD7A112" w14:textId="77777777" w:rsidR="00464C56" w:rsidRPr="00EE7434" w:rsidRDefault="00000000">
            <w:pPr>
              <w:cnfStyle w:val="000000100000" w:firstRow="0" w:lastRow="0" w:firstColumn="0" w:lastColumn="0" w:oddVBand="0" w:evenVBand="0" w:oddHBand="1" w:evenHBand="0" w:firstRowFirstColumn="0" w:firstRowLastColumn="0" w:lastRowFirstColumn="0" w:lastRowLastColumn="0"/>
            </w:pPr>
            <w:r w:rsidRPr="00EE7434">
              <w:t>Industrial heartland, high GDP per capita</w:t>
            </w:r>
          </w:p>
        </w:tc>
      </w:tr>
      <w:tr w:rsidR="00464C56" w:rsidRPr="00EE7434" w14:paraId="5D88A132" w14:textId="77777777" w:rsidTr="002E4E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2" w:type="dxa"/>
          </w:tcPr>
          <w:p w14:paraId="5222B5CE" w14:textId="77777777" w:rsidR="00464C56" w:rsidRPr="00EE7434" w:rsidRDefault="00000000">
            <w:r w:rsidRPr="00EE7434">
              <w:t>Northeast (NE)</w:t>
            </w:r>
          </w:p>
        </w:tc>
        <w:tc>
          <w:tcPr>
            <w:tcW w:w="2160" w:type="dxa"/>
          </w:tcPr>
          <w:p w14:paraId="18A58A63" w14:textId="77777777" w:rsidR="00464C56" w:rsidRPr="00EE7434" w:rsidRDefault="00000000">
            <w:pPr>
              <w:cnfStyle w:val="000000010000" w:firstRow="0" w:lastRow="0" w:firstColumn="0" w:lastColumn="0" w:oddVBand="0" w:evenVBand="0" w:oddHBand="0" w:evenHBand="1" w:firstRowFirstColumn="0" w:firstRowLastColumn="0" w:lastRowFirstColumn="0" w:lastRowLastColumn="0"/>
            </w:pPr>
            <w:r w:rsidRPr="00EE7434">
              <w:t>Veneto, Trentino-</w:t>
            </w:r>
            <w:r w:rsidRPr="00EE7434">
              <w:lastRenderedPageBreak/>
              <w:t>Alto Adige, Friuli-Venezia Giulia, Emilia-Romagna</w:t>
            </w:r>
          </w:p>
        </w:tc>
        <w:tc>
          <w:tcPr>
            <w:tcW w:w="2160" w:type="dxa"/>
          </w:tcPr>
          <w:p w14:paraId="21BAB6AF" w14:textId="77777777" w:rsidR="00464C56" w:rsidRPr="00EE7434" w:rsidRDefault="00000000">
            <w:pPr>
              <w:cnfStyle w:val="000000010000" w:firstRow="0" w:lastRow="0" w:firstColumn="0" w:lastColumn="0" w:oddVBand="0" w:evenVBand="0" w:oddHBand="0" w:evenHBand="1" w:firstRowFirstColumn="0" w:firstRowLastColumn="0" w:lastRowFirstColumn="0" w:lastRowLastColumn="0"/>
            </w:pPr>
            <w:r w:rsidRPr="00EE7434">
              <w:lastRenderedPageBreak/>
              <w:t>19.1%</w:t>
            </w:r>
          </w:p>
        </w:tc>
        <w:tc>
          <w:tcPr>
            <w:tcW w:w="1908" w:type="dxa"/>
          </w:tcPr>
          <w:p w14:paraId="12FF0C54" w14:textId="77777777" w:rsidR="00464C56" w:rsidRPr="00EE7434" w:rsidRDefault="00000000">
            <w:pPr>
              <w:cnfStyle w:val="000000010000" w:firstRow="0" w:lastRow="0" w:firstColumn="0" w:lastColumn="0" w:oddVBand="0" w:evenVBand="0" w:oddHBand="0" w:evenHBand="1" w:firstRowFirstColumn="0" w:firstRowLastColumn="0" w:lastRowFirstColumn="0" w:lastRowLastColumn="0"/>
            </w:pPr>
            <w:r w:rsidRPr="00EE7434">
              <w:t xml:space="preserve">Manufacturing, </w:t>
            </w:r>
            <w:r w:rsidRPr="00EE7434">
              <w:lastRenderedPageBreak/>
              <w:t>services, high income</w:t>
            </w:r>
          </w:p>
        </w:tc>
      </w:tr>
      <w:tr w:rsidR="00464C56" w:rsidRPr="00EE7434" w14:paraId="05D76F25" w14:textId="77777777" w:rsidTr="002E4E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2" w:type="dxa"/>
          </w:tcPr>
          <w:p w14:paraId="5D9CDB38" w14:textId="77777777" w:rsidR="00464C56" w:rsidRPr="00EE7434" w:rsidRDefault="00000000">
            <w:r w:rsidRPr="00EE7434">
              <w:lastRenderedPageBreak/>
              <w:t>Centre</w:t>
            </w:r>
          </w:p>
        </w:tc>
        <w:tc>
          <w:tcPr>
            <w:tcW w:w="2160" w:type="dxa"/>
          </w:tcPr>
          <w:p w14:paraId="6592EE4D" w14:textId="77777777" w:rsidR="00464C56" w:rsidRPr="00EE7434" w:rsidRDefault="00000000">
            <w:pPr>
              <w:cnfStyle w:val="000000100000" w:firstRow="0" w:lastRow="0" w:firstColumn="0" w:lastColumn="0" w:oddVBand="0" w:evenVBand="0" w:oddHBand="1" w:evenHBand="0" w:firstRowFirstColumn="0" w:firstRowLastColumn="0" w:lastRowFirstColumn="0" w:lastRowLastColumn="0"/>
            </w:pPr>
            <w:r w:rsidRPr="00EE7434">
              <w:t>Tuscany, Umbria, Marche, Lazio</w:t>
            </w:r>
          </w:p>
        </w:tc>
        <w:tc>
          <w:tcPr>
            <w:tcW w:w="2160" w:type="dxa"/>
          </w:tcPr>
          <w:p w14:paraId="50CCDC95" w14:textId="77777777" w:rsidR="00464C56" w:rsidRPr="00EE7434" w:rsidRDefault="00000000">
            <w:pPr>
              <w:cnfStyle w:val="000000100000" w:firstRow="0" w:lastRow="0" w:firstColumn="0" w:lastColumn="0" w:oddVBand="0" w:evenVBand="0" w:oddHBand="1" w:evenHBand="0" w:firstRowFirstColumn="0" w:firstRowLastColumn="0" w:lastRowFirstColumn="0" w:lastRowLastColumn="0"/>
            </w:pPr>
            <w:r w:rsidRPr="00EE7434">
              <w:t>19.9%</w:t>
            </w:r>
          </w:p>
        </w:tc>
        <w:tc>
          <w:tcPr>
            <w:tcW w:w="1908" w:type="dxa"/>
          </w:tcPr>
          <w:p w14:paraId="5E372D73" w14:textId="77777777" w:rsidR="00464C56" w:rsidRPr="00EE7434" w:rsidRDefault="00000000">
            <w:pPr>
              <w:cnfStyle w:val="000000100000" w:firstRow="0" w:lastRow="0" w:firstColumn="0" w:lastColumn="0" w:oddVBand="0" w:evenVBand="0" w:oddHBand="1" w:evenHBand="0" w:firstRowFirstColumn="0" w:firstRowLastColumn="0" w:lastRowFirstColumn="0" w:lastRowLastColumn="0"/>
            </w:pPr>
            <w:r w:rsidRPr="00EE7434">
              <w:t>Services, public administration, tourism</w:t>
            </w:r>
          </w:p>
        </w:tc>
      </w:tr>
      <w:tr w:rsidR="00464C56" w:rsidRPr="00EE7434" w14:paraId="433939C6" w14:textId="77777777" w:rsidTr="002E4E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2" w:type="dxa"/>
          </w:tcPr>
          <w:p w14:paraId="34CF942A" w14:textId="77777777" w:rsidR="00464C56" w:rsidRPr="00EE7434" w:rsidRDefault="00000000">
            <w:r w:rsidRPr="00EE7434">
              <w:t>South</w:t>
            </w:r>
          </w:p>
        </w:tc>
        <w:tc>
          <w:tcPr>
            <w:tcW w:w="2160" w:type="dxa"/>
          </w:tcPr>
          <w:p w14:paraId="1A73F22A" w14:textId="77777777" w:rsidR="00464C56" w:rsidRPr="00EE7434" w:rsidRDefault="00000000">
            <w:pPr>
              <w:cnfStyle w:val="000000010000" w:firstRow="0" w:lastRow="0" w:firstColumn="0" w:lastColumn="0" w:oddVBand="0" w:evenVBand="0" w:oddHBand="0" w:evenHBand="1" w:firstRowFirstColumn="0" w:firstRowLastColumn="0" w:lastRowFirstColumn="0" w:lastRowLastColumn="0"/>
            </w:pPr>
            <w:r w:rsidRPr="00EE7434">
              <w:t>Abruzzo, Molise, Campania, Puglia, Basilicata, Calabria</w:t>
            </w:r>
          </w:p>
        </w:tc>
        <w:tc>
          <w:tcPr>
            <w:tcW w:w="2160" w:type="dxa"/>
          </w:tcPr>
          <w:p w14:paraId="6D1E061A" w14:textId="77777777" w:rsidR="00464C56" w:rsidRPr="00EE7434" w:rsidRDefault="00000000">
            <w:pPr>
              <w:cnfStyle w:val="000000010000" w:firstRow="0" w:lastRow="0" w:firstColumn="0" w:lastColumn="0" w:oddVBand="0" w:evenVBand="0" w:oddHBand="0" w:evenHBand="1" w:firstRowFirstColumn="0" w:firstRowLastColumn="0" w:lastRowFirstColumn="0" w:lastRowLastColumn="0"/>
            </w:pPr>
            <w:r w:rsidRPr="00EE7434">
              <w:t>23.3%</w:t>
            </w:r>
          </w:p>
        </w:tc>
        <w:tc>
          <w:tcPr>
            <w:tcW w:w="1908" w:type="dxa"/>
          </w:tcPr>
          <w:p w14:paraId="33DD1346" w14:textId="77777777" w:rsidR="00464C56" w:rsidRPr="00EE7434" w:rsidRDefault="00000000">
            <w:pPr>
              <w:cnfStyle w:val="000000010000" w:firstRow="0" w:lastRow="0" w:firstColumn="0" w:lastColumn="0" w:oddVBand="0" w:evenVBand="0" w:oddHBand="0" w:evenHBand="1" w:firstRowFirstColumn="0" w:firstRowLastColumn="0" w:lastRowFirstColumn="0" w:lastRowLastColumn="0"/>
            </w:pPr>
            <w:r w:rsidRPr="00EE7434">
              <w:t>Agriculture, lower income, development challenges</w:t>
            </w:r>
          </w:p>
        </w:tc>
      </w:tr>
      <w:tr w:rsidR="00464C56" w:rsidRPr="00EE7434" w14:paraId="03039880" w14:textId="77777777" w:rsidTr="002E4E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2" w:type="dxa"/>
          </w:tcPr>
          <w:p w14:paraId="056A3680" w14:textId="77777777" w:rsidR="00464C56" w:rsidRPr="00EE7434" w:rsidRDefault="00000000">
            <w:r w:rsidRPr="00EE7434">
              <w:t>Islands</w:t>
            </w:r>
          </w:p>
        </w:tc>
        <w:tc>
          <w:tcPr>
            <w:tcW w:w="2160" w:type="dxa"/>
          </w:tcPr>
          <w:p w14:paraId="56B9909C" w14:textId="77777777" w:rsidR="00464C56" w:rsidRPr="00EE7434" w:rsidRDefault="00000000">
            <w:pPr>
              <w:cnfStyle w:val="000000100000" w:firstRow="0" w:lastRow="0" w:firstColumn="0" w:lastColumn="0" w:oddVBand="0" w:evenVBand="0" w:oddHBand="1" w:evenHBand="0" w:firstRowFirstColumn="0" w:firstRowLastColumn="0" w:lastRowFirstColumn="0" w:lastRowLastColumn="0"/>
            </w:pPr>
            <w:r w:rsidRPr="00EE7434">
              <w:t>Sicily, Sardinia</w:t>
            </w:r>
          </w:p>
        </w:tc>
        <w:tc>
          <w:tcPr>
            <w:tcW w:w="2160" w:type="dxa"/>
          </w:tcPr>
          <w:p w14:paraId="27ED8EC9" w14:textId="77777777" w:rsidR="00464C56" w:rsidRPr="00EE7434" w:rsidRDefault="00000000">
            <w:pPr>
              <w:cnfStyle w:val="000000100000" w:firstRow="0" w:lastRow="0" w:firstColumn="0" w:lastColumn="0" w:oddVBand="0" w:evenVBand="0" w:oddHBand="1" w:evenHBand="0" w:firstRowFirstColumn="0" w:firstRowLastColumn="0" w:lastRowFirstColumn="0" w:lastRowLastColumn="0"/>
            </w:pPr>
            <w:r w:rsidRPr="00EE7434">
              <w:t>10.8%</w:t>
            </w:r>
          </w:p>
        </w:tc>
        <w:tc>
          <w:tcPr>
            <w:tcW w:w="1908" w:type="dxa"/>
          </w:tcPr>
          <w:p w14:paraId="5F8B6DE3" w14:textId="77777777" w:rsidR="00464C56" w:rsidRPr="00EE7434" w:rsidRDefault="00000000">
            <w:pPr>
              <w:cnfStyle w:val="000000100000" w:firstRow="0" w:lastRow="0" w:firstColumn="0" w:lastColumn="0" w:oddVBand="0" w:evenVBand="0" w:oddHBand="1" w:evenHBand="0" w:firstRowFirstColumn="0" w:firstRowLastColumn="0" w:lastRowFirstColumn="0" w:lastRowLastColumn="0"/>
            </w:pPr>
            <w:r w:rsidRPr="00EE7434">
              <w:t>Tourism, agriculture, insularity challenges</w:t>
            </w:r>
          </w:p>
        </w:tc>
      </w:tr>
    </w:tbl>
    <w:p w14:paraId="4F9D918C" w14:textId="77777777" w:rsidR="00732E3E" w:rsidRPr="00EE7434" w:rsidRDefault="00732E3E"/>
    <w:p w14:paraId="0341F4B7" w14:textId="77777777" w:rsidR="00A05802" w:rsidRPr="00EE7434" w:rsidRDefault="00A05802" w:rsidP="00A05802">
      <w:pPr>
        <w:jc w:val="both"/>
      </w:pPr>
      <w:r w:rsidRPr="00EE7434">
        <w:t>This regional disaggregation is essential for capturing the heterogeneous impacts of climate policies across Italy. Northern regions, with their higher industrial base and income levels, may have greater capacity to absorb carbon costs and invest in clean technologies. Southern regions and islands, characterised by lower GDP per capita and higher unemployment rates, face distinct challenges and require targeted support mechanisms to ensure a just transition.</w:t>
      </w:r>
    </w:p>
    <w:p w14:paraId="5E44538F" w14:textId="1455C6BB" w:rsidR="00A05802" w:rsidRPr="00EE7434" w:rsidRDefault="00A05802" w:rsidP="00A05802">
      <w:pPr>
        <w:jc w:val="both"/>
      </w:pPr>
      <w:r w:rsidRPr="00EE7434">
        <w:t>The model represents household income and expenditure, labour markets, and regional income transfers, enabling analysis of distributional impacts and the design of region-specific policy measures. Regional renewable energy potentials and investment patterns are also explicitly modelled, reflecting Italy's diverse geographical and climatic conditions.</w:t>
      </w:r>
    </w:p>
    <w:p w14:paraId="7FB9407D" w14:textId="06A029E2" w:rsidR="004D7726" w:rsidRPr="00EE7434" w:rsidRDefault="004D7726">
      <w:pPr>
        <w:rPr>
          <w:b/>
          <w:bCs/>
        </w:rPr>
      </w:pPr>
      <w:r w:rsidRPr="00EE7434">
        <w:rPr>
          <w:b/>
          <w:bCs/>
        </w:rPr>
        <w:t>3. Literature Review</w:t>
      </w:r>
    </w:p>
    <w:p w14:paraId="6E341674" w14:textId="41EA599F" w:rsidR="004D7726" w:rsidRPr="00EE7434" w:rsidRDefault="000C026E">
      <w:r w:rsidRPr="00EE7434">
        <w:t>The CGE-I5 model builds upon a rich literature spanning computable general equilibrium modelling, energy-economy-environment interactions, and climate policy analysis. This section reviews the key theoretical and empirical contributions that inform the design and implementation of the model.</w:t>
      </w:r>
    </w:p>
    <w:p w14:paraId="0E7FE606" w14:textId="53FC310F" w:rsidR="003163C3" w:rsidRPr="00EE7434" w:rsidRDefault="003163C3">
      <w:pPr>
        <w:rPr>
          <w:b/>
          <w:bCs/>
        </w:rPr>
      </w:pPr>
      <w:r w:rsidRPr="00EE7434">
        <w:rPr>
          <w:b/>
          <w:bCs/>
        </w:rPr>
        <w:t xml:space="preserve">3.1 Computable General Equilibrium Modelling Framework </w:t>
      </w:r>
    </w:p>
    <w:p w14:paraId="7624E2C4" w14:textId="3CCFE44E" w:rsidR="00732E3E" w:rsidRPr="00EE7434" w:rsidRDefault="00AA0420" w:rsidP="00AA0420">
      <w:pPr>
        <w:jc w:val="both"/>
      </w:pPr>
      <w:r w:rsidRPr="00EE7434">
        <w:t>Computable General Equilibrium (CGE) models have become the standard tool for analysing economy</w:t>
      </w:r>
      <w:r w:rsidR="00D029A6" w:rsidRPr="00EE7434">
        <w:t>-</w:t>
      </w:r>
      <w:r w:rsidRPr="00EE7434">
        <w:t>wide policies, providing a coherent framework for capturing the complex interactions between markets, sectors, and economic agents. The theoretical foundations of CGE modelling trace back to Walras (1</w:t>
      </w:r>
      <w:r w:rsidR="0000308C" w:rsidRPr="00EE7434">
        <w:t>900</w:t>
      </w:r>
      <w:r w:rsidRPr="00EE7434">
        <w:t>) and the Arrow-Debreu general equilibrium theory (Arrow</w:t>
      </w:r>
      <w:r w:rsidR="00B67EC4" w:rsidRPr="00EE7434">
        <w:t xml:space="preserve"> and</w:t>
      </w:r>
      <w:r w:rsidRPr="00EE7434">
        <w:t xml:space="preserve"> Debreu, </w:t>
      </w:r>
      <w:r w:rsidR="00B67EC4" w:rsidRPr="00EE7434">
        <w:t>2024</w:t>
      </w:r>
      <w:r w:rsidRPr="00EE7434">
        <w:t>), which demonstrates the existence of competitive equilibrium under specific conditions.</w:t>
      </w:r>
    </w:p>
    <w:p w14:paraId="245879D3" w14:textId="6BE4D9B9" w:rsidR="00D029A6" w:rsidRPr="00EE7434" w:rsidRDefault="00D029A6" w:rsidP="00D029A6">
      <w:pPr>
        <w:jc w:val="both"/>
      </w:pPr>
      <w:r w:rsidRPr="00EE7434">
        <w:lastRenderedPageBreak/>
        <w:t>Modern applied CGE modelling was pioneered by Johansen (196</w:t>
      </w:r>
      <w:r w:rsidR="006C7B75" w:rsidRPr="00EE7434">
        <w:t>4</w:t>
      </w:r>
      <w:r w:rsidRPr="00EE7434">
        <w:t>) and further developed by Scarf (1967), who introduced computational algorithms for solving large-scale general equilibrium systems. The application of CGE models to developing countries and policy analysis was advanced significantly by Dervis, de Melo, and Robinson (1982), establishing best practices for model structure and calibration.</w:t>
      </w:r>
    </w:p>
    <w:p w14:paraId="76F72E53" w14:textId="71464926" w:rsidR="00D029A6" w:rsidRPr="00EE7434" w:rsidRDefault="00D029A6" w:rsidP="00D029A6">
      <w:pPr>
        <w:jc w:val="both"/>
      </w:pPr>
      <w:r w:rsidRPr="00EE7434">
        <w:t>Lofgren, Harris, and Robinson (2002) provide a comprehensive standard CGE model framework that has influenced numerous applications, including the present work. Their formulation emphasises the importance of Social Accounting Matrices (SAMs) for calibration and the use of flexible functional forms, particularly Constant Elasticity of Substitution (CES) functions, to represent production and consumption behaviour. For regional and multi-regional CGE models, Dixon and Parmenter (1996) and Partridge and Rickman (2010) demonstrate the importance of capturing spatial heterogeneity in economic structure and factor markets. Their work highlights how regional models can identify distributional impacts that are obscured in national aggregate models.</w:t>
      </w:r>
    </w:p>
    <w:p w14:paraId="084DE69D" w14:textId="51CFC69A" w:rsidR="00AA0420" w:rsidRPr="00EE7434" w:rsidRDefault="00074ED4" w:rsidP="00AA0420">
      <w:pPr>
        <w:jc w:val="both"/>
        <w:rPr>
          <w:b/>
          <w:bCs/>
        </w:rPr>
      </w:pPr>
      <w:r w:rsidRPr="00EE7434">
        <w:rPr>
          <w:b/>
          <w:bCs/>
        </w:rPr>
        <w:t>3.2 Energy-Economy-En</w:t>
      </w:r>
      <w:r w:rsidR="006267D1" w:rsidRPr="00EE7434">
        <w:rPr>
          <w:b/>
          <w:bCs/>
        </w:rPr>
        <w:t xml:space="preserve">vironment CGE Models </w:t>
      </w:r>
    </w:p>
    <w:p w14:paraId="76658CCC" w14:textId="77777777" w:rsidR="00296FE4" w:rsidRPr="00EE7434" w:rsidRDefault="00296FE4" w:rsidP="00296FE4">
      <w:pPr>
        <w:jc w:val="both"/>
      </w:pPr>
      <w:r w:rsidRPr="00EE7434">
        <w:t>The integration of energy and environmental modules into CGE frameworks represents a significant strand of literature relevant to climate policy analysis. Burniaux and Truong (2002) developed the GTAP-E model, which extends the Global Trade Analysis Project (GTAP) model to include detailed energy sectors and track CO₂ emissions. Their nested production structure, with explicit representation of energy-capital complementarity, has become a standard approach in energy-CGE models.</w:t>
      </w:r>
    </w:p>
    <w:p w14:paraId="5D25B6A6" w14:textId="36AF24D6" w:rsidR="00732E3E" w:rsidRPr="00EE7434" w:rsidRDefault="00296FE4" w:rsidP="00296FE4">
      <w:pPr>
        <w:jc w:val="both"/>
      </w:pPr>
      <w:r w:rsidRPr="00EE7434">
        <w:t xml:space="preserve">The Multi-Sector, Multi-Region, Macro-Econometric Model (ThreeME), developed by </w:t>
      </w:r>
      <w:proofErr w:type="spellStart"/>
      <w:r w:rsidRPr="00EE7434">
        <w:t>Callonnec</w:t>
      </w:r>
      <w:proofErr w:type="spellEnd"/>
      <w:r w:rsidRPr="00EE7434">
        <w:t xml:space="preserve"> et al. (2013) and refined by Reynès et al. (20</w:t>
      </w:r>
      <w:r w:rsidR="00D01445" w:rsidRPr="00EE7434">
        <w:t>21</w:t>
      </w:r>
      <w:r w:rsidRPr="00EE7434">
        <w:t>), provides a particularly relevant reference for the CGE-I5 model. ThreeME combines CGE modelling with dynamic econometric estimation and detailed energy sector disaggregation. Key features adopted in CGE-I5 include:</w:t>
      </w:r>
    </w:p>
    <w:p w14:paraId="6EC94A06" w14:textId="4B81110B" w:rsidR="002C04E3" w:rsidRPr="00EE7434" w:rsidRDefault="002C04E3" w:rsidP="002C04E3">
      <w:pPr>
        <w:pStyle w:val="ListParagraph"/>
        <w:numPr>
          <w:ilvl w:val="0"/>
          <w:numId w:val="17"/>
        </w:numPr>
        <w:jc w:val="both"/>
      </w:pPr>
      <w:r w:rsidRPr="00EE7434">
        <w:t>Nested CES production functions with Capital-Labour-Energy-Materials (KLEM) structure</w:t>
      </w:r>
      <w:r w:rsidR="00A45EE9" w:rsidRPr="00EE7434">
        <w:t>.</w:t>
      </w:r>
    </w:p>
    <w:p w14:paraId="3B29B760" w14:textId="56EC8A43" w:rsidR="002C04E3" w:rsidRPr="00EE7434" w:rsidRDefault="002C04E3" w:rsidP="002C04E3">
      <w:pPr>
        <w:pStyle w:val="ListParagraph"/>
        <w:numPr>
          <w:ilvl w:val="0"/>
          <w:numId w:val="17"/>
        </w:numPr>
        <w:jc w:val="both"/>
      </w:pPr>
      <w:r w:rsidRPr="00EE7434">
        <w:t>Autonomous Energy Efficiency Improvements (AEEI) to capture technological progress</w:t>
      </w:r>
      <w:r w:rsidR="00A45EE9" w:rsidRPr="00EE7434">
        <w:t>.</w:t>
      </w:r>
    </w:p>
    <w:p w14:paraId="4A6CA6A1" w14:textId="3177B1A2" w:rsidR="002C04E3" w:rsidRPr="00EE7434" w:rsidRDefault="002C04E3" w:rsidP="002C04E3">
      <w:pPr>
        <w:pStyle w:val="ListParagraph"/>
        <w:numPr>
          <w:ilvl w:val="0"/>
          <w:numId w:val="17"/>
        </w:numPr>
        <w:jc w:val="both"/>
      </w:pPr>
      <w:r w:rsidRPr="00EE7434">
        <w:t>Detailed representation of electricity generation by technology (renewables, fossil fuels)</w:t>
      </w:r>
      <w:r w:rsidR="00A45EE9" w:rsidRPr="00EE7434">
        <w:t>.</w:t>
      </w:r>
    </w:p>
    <w:p w14:paraId="454156A3" w14:textId="1C00D8C2" w:rsidR="002C04E3" w:rsidRPr="00EE7434" w:rsidRDefault="002C04E3" w:rsidP="002C04E3">
      <w:pPr>
        <w:pStyle w:val="ListParagraph"/>
        <w:numPr>
          <w:ilvl w:val="0"/>
          <w:numId w:val="17"/>
        </w:numPr>
        <w:jc w:val="both"/>
      </w:pPr>
      <w:r w:rsidRPr="00EE7434">
        <w:t>Recursive dynamic framework with forward-looking investment decisions</w:t>
      </w:r>
      <w:r w:rsidR="00A45EE9" w:rsidRPr="00EE7434">
        <w:t>.</w:t>
      </w:r>
    </w:p>
    <w:p w14:paraId="76A5977C" w14:textId="7518D922" w:rsidR="002C04E3" w:rsidRPr="00EE7434" w:rsidRDefault="002C04E3" w:rsidP="002C04E3">
      <w:pPr>
        <w:pStyle w:val="ListParagraph"/>
        <w:numPr>
          <w:ilvl w:val="0"/>
          <w:numId w:val="17"/>
        </w:numPr>
        <w:jc w:val="both"/>
      </w:pPr>
      <w:r w:rsidRPr="00EE7434">
        <w:t>Energy demand disaggregated by sector and energy carrier</w:t>
      </w:r>
      <w:r w:rsidR="00A45EE9" w:rsidRPr="00EE7434">
        <w:t xml:space="preserve">. </w:t>
      </w:r>
    </w:p>
    <w:p w14:paraId="4C02A01D" w14:textId="77777777" w:rsidR="00A45EE9" w:rsidRPr="00EE7434" w:rsidRDefault="00A45EE9" w:rsidP="002C04E3">
      <w:pPr>
        <w:jc w:val="both"/>
      </w:pPr>
    </w:p>
    <w:p w14:paraId="220E58AB" w14:textId="146509DF" w:rsidR="002C04E3" w:rsidRPr="00EE7434" w:rsidRDefault="002C04E3" w:rsidP="002C04E3">
      <w:pPr>
        <w:jc w:val="both"/>
      </w:pPr>
      <w:r w:rsidRPr="00EE7434">
        <w:lastRenderedPageBreak/>
        <w:t>Böhringer</w:t>
      </w:r>
      <w:r w:rsidR="00A45EE9" w:rsidRPr="00EE7434">
        <w:t xml:space="preserve"> </w:t>
      </w:r>
      <w:r w:rsidRPr="00EE7434">
        <w:t>and Rutherford (2008) provide essential insights on representing environmental policy constraints in CGE models, particularly the treatment of emissions permits and carbon pricing mechanisms. Their analysis of the EU ETS demonstrates the importance of modelling allowance allocation methods and banking/borrowing provisions.</w:t>
      </w:r>
      <w:r w:rsidR="00AA13DE" w:rsidRPr="00EE7434">
        <w:t xml:space="preserve"> </w:t>
      </w:r>
      <w:r w:rsidR="00AA13DE" w:rsidRPr="00EE7434">
        <w:t>The PRIMES model (</w:t>
      </w:r>
      <w:proofErr w:type="spellStart"/>
      <w:r w:rsidR="00AA13DE" w:rsidRPr="00EE7434">
        <w:t>Capros</w:t>
      </w:r>
      <w:proofErr w:type="spellEnd"/>
      <w:r w:rsidR="00AA13DE" w:rsidRPr="00EE7434">
        <w:t xml:space="preserve"> et al., 201</w:t>
      </w:r>
      <w:r w:rsidR="00536A71" w:rsidRPr="00EE7434">
        <w:t>2</w:t>
      </w:r>
      <w:r w:rsidR="00AA13DE" w:rsidRPr="00EE7434">
        <w:t>), widely used for EU energy policy analysis, offers a detailed bottom-up representation of energy technologies that complements top-down CGE approaches. The CGE-I5 model adopts a hybrid approach, using PRIMES-derived energy technology parameters while maintaining the general equilibrium framework.</w:t>
      </w:r>
    </w:p>
    <w:p w14:paraId="747318BB" w14:textId="4E5C9863" w:rsidR="0032797E" w:rsidRPr="00EE7434" w:rsidRDefault="002C5DA3" w:rsidP="00296FE4">
      <w:pPr>
        <w:jc w:val="both"/>
        <w:rPr>
          <w:b/>
          <w:bCs/>
        </w:rPr>
      </w:pPr>
      <w:r w:rsidRPr="00EE7434">
        <w:rPr>
          <w:b/>
          <w:bCs/>
        </w:rPr>
        <w:t xml:space="preserve">3.3 Climate Policy and Carbon Pricing Literature </w:t>
      </w:r>
    </w:p>
    <w:p w14:paraId="1B8BDA25" w14:textId="77777777" w:rsidR="00E11F30" w:rsidRPr="00EE7434" w:rsidRDefault="00E11F30" w:rsidP="00E11F30">
      <w:pPr>
        <w:jc w:val="both"/>
      </w:pPr>
      <w:r w:rsidRPr="00EE7434">
        <w:t>The economic analysis of carbon pricing mechanisms has evolved considerably since Pigou's (1920) foundational work on externalities and corrective taxation. Nordhaus (2017) has been instrumental in developing integrated assessment models (IAMs) that link economic growth, emissions, climate change, and damages, providing a framework for determining optimal carbon prices. His DICE (Dynamic Integrated Climate-Economy) model illustrates the significance of intertemporal optimisation in climate policy design.</w:t>
      </w:r>
    </w:p>
    <w:p w14:paraId="5F3C8CCA" w14:textId="649A196B" w:rsidR="00E11F30" w:rsidRPr="00EE7434" w:rsidRDefault="00E11F30" w:rsidP="00E11F30">
      <w:pPr>
        <w:jc w:val="both"/>
      </w:pPr>
      <w:r w:rsidRPr="00EE7434">
        <w:t xml:space="preserve">The EU ETS, as the world's largest carbon market, has generated substantial research on market-based climate policy. Ellerman, Convery, and </w:t>
      </w:r>
      <w:r w:rsidR="008A13B6" w:rsidRPr="00EE7434">
        <w:t>D</w:t>
      </w:r>
      <w:r w:rsidRPr="00EE7434">
        <w:t xml:space="preserve">e </w:t>
      </w:r>
      <w:proofErr w:type="spellStart"/>
      <w:r w:rsidRPr="00EE7434">
        <w:t>Perthuis</w:t>
      </w:r>
      <w:proofErr w:type="spellEnd"/>
      <w:r w:rsidRPr="00EE7434">
        <w:t xml:space="preserve"> (2010) provide a comprehensive assessment of the first phase of the EU ETS, highlighting lessons on allowance allocation, price volatility, and market efficiency. Subsequent work by Perino and Willner (2016) and </w:t>
      </w:r>
      <w:proofErr w:type="spellStart"/>
      <w:r w:rsidRPr="00EE7434">
        <w:t>Bruninx</w:t>
      </w:r>
      <w:proofErr w:type="spellEnd"/>
      <w:r w:rsidRPr="00EE7434">
        <w:t xml:space="preserve"> et al. (2020) analyses the Market Stability Reserve (MSR) introduced in Phase 4, which is explicitly modelled in the CGE-I5 framework.</w:t>
      </w:r>
    </w:p>
    <w:p w14:paraId="03096EE6" w14:textId="14C7C465" w:rsidR="00450E40" w:rsidRPr="00EE7434" w:rsidRDefault="00E11F30" w:rsidP="00E11F30">
      <w:pPr>
        <w:jc w:val="both"/>
      </w:pPr>
      <w:r w:rsidRPr="00EE7434">
        <w:t>The proposed extension of the EU ETS to buildings and transport (ETS2) has been analysed by Flachsland et al. (2020) and Edenhofer et al. (2021), who examine the implications for distributional impacts and social acceptability. Their findings emphasise the need for complementary policies, including social measures and targeted support for vulnerable households</w:t>
      </w:r>
      <w:r w:rsidR="009A2033" w:rsidRPr="00EE7434">
        <w:t>-</w:t>
      </w:r>
      <w:r w:rsidRPr="00EE7434">
        <w:t>considerations incorporated into the CGE-I5 policy scenarios.</w:t>
      </w:r>
      <w:r w:rsidR="00AD6F44" w:rsidRPr="00EE7434">
        <w:t xml:space="preserve"> </w:t>
      </w:r>
      <w:r w:rsidR="00AD6F44" w:rsidRPr="00EE7434">
        <w:t>Parry and Williams (1999) establish the theoretical foundation for revenue recycling in carbon taxation, demonstrating how returning carbon revenues through reduced distortionary taxes can achieve a "double dividend" of environmental improvement and economic efficiency gains. The CGE-I5 model implements several revenue recycling mechanisms informed by this literature.</w:t>
      </w:r>
    </w:p>
    <w:p w14:paraId="0C144AFC" w14:textId="0D586CE9" w:rsidR="005777BB" w:rsidRPr="00EE7434" w:rsidRDefault="005777BB" w:rsidP="00E11F30">
      <w:pPr>
        <w:jc w:val="both"/>
        <w:rPr>
          <w:b/>
          <w:bCs/>
        </w:rPr>
      </w:pPr>
      <w:r w:rsidRPr="00EE7434">
        <w:rPr>
          <w:b/>
          <w:bCs/>
        </w:rPr>
        <w:t xml:space="preserve">3.4 Energy Transition and Renewable Energy Integration </w:t>
      </w:r>
    </w:p>
    <w:p w14:paraId="6189172A" w14:textId="62DFC738" w:rsidR="00F15E0F" w:rsidRPr="00EE7434" w:rsidRDefault="00F15E0F" w:rsidP="00F15E0F">
      <w:pPr>
        <w:jc w:val="both"/>
      </w:pPr>
      <w:r w:rsidRPr="00EE7434">
        <w:t xml:space="preserve">The literature on energy transitions offers crucial insights for modelling the transition to renewable energy systems. Grubb, </w:t>
      </w:r>
      <w:proofErr w:type="spellStart"/>
      <w:r w:rsidRPr="00EE7434">
        <w:t>Hourcade</w:t>
      </w:r>
      <w:proofErr w:type="spellEnd"/>
      <w:r w:rsidRPr="00EE7434">
        <w:t xml:space="preserve">, and Neuhoff (2014) analyse the "energy transitions paradox," where long-term decarbonization goals require near-term </w:t>
      </w:r>
      <w:r w:rsidRPr="00EE7434">
        <w:lastRenderedPageBreak/>
        <w:t>investments despite policy uncertainty. Their work informs the CGE-I5 model's treatment of renewable energy investment under alternative policy scenarios.</w:t>
      </w:r>
      <w:r w:rsidRPr="00EE7434">
        <w:t xml:space="preserve"> </w:t>
      </w:r>
      <w:proofErr w:type="spellStart"/>
      <w:r w:rsidRPr="00EE7434">
        <w:t>Creutzig</w:t>
      </w:r>
      <w:proofErr w:type="spellEnd"/>
      <w:r w:rsidRPr="00EE7434">
        <w:t xml:space="preserve"> et al. (2017) document the dramatic cost reductions in solar and wind technologies, which have fundamentally altered the economics of decarbonization. These cost trajectories are incorporated into the CGE-I5 model's renewable energy investment functions and technology choice mechanisms.</w:t>
      </w:r>
    </w:p>
    <w:p w14:paraId="5A5C09F3" w14:textId="68BD9E38" w:rsidR="00732E3E" w:rsidRPr="00EE7434" w:rsidRDefault="00F15E0F" w:rsidP="00F15E0F">
      <w:pPr>
        <w:jc w:val="both"/>
      </w:pPr>
      <w:r w:rsidRPr="00EE7434">
        <w:t xml:space="preserve">The integration of variable renewable energy (VRE) into power systems presents technical and economic challenges, as analysed by Hirth, Ueckerdt, and Edenhofer (2015) and </w:t>
      </w:r>
      <w:proofErr w:type="spellStart"/>
      <w:r w:rsidRPr="00EE7434">
        <w:t>Joskow</w:t>
      </w:r>
      <w:proofErr w:type="spellEnd"/>
      <w:r w:rsidRPr="00EE7434">
        <w:t xml:space="preserve"> (2011). While the CGE-I5 model does not explicitly model electricity dispatch and system operations, it incorporates effective capacity values and system integration costs based on this literature.</w:t>
      </w:r>
      <w:r w:rsidRPr="00EE7434">
        <w:t xml:space="preserve"> </w:t>
      </w:r>
      <w:r w:rsidRPr="00EE7434">
        <w:t xml:space="preserve">Jacobson et al. (2017) and </w:t>
      </w:r>
      <w:r w:rsidR="004A3CDC" w:rsidRPr="00EE7434">
        <w:t>Al-</w:t>
      </w:r>
      <w:proofErr w:type="spellStart"/>
      <w:r w:rsidR="004A3CDC" w:rsidRPr="00EE7434">
        <w:t>She</w:t>
      </w:r>
      <w:r w:rsidR="00B1541D" w:rsidRPr="00EE7434">
        <w:t>twi</w:t>
      </w:r>
      <w:proofErr w:type="spellEnd"/>
      <w:r w:rsidR="00B1541D" w:rsidRPr="00EE7434">
        <w:t xml:space="preserve"> </w:t>
      </w:r>
      <w:r w:rsidRPr="00EE7434">
        <w:t>et al. (20</w:t>
      </w:r>
      <w:r w:rsidR="00B1541D" w:rsidRPr="00EE7434">
        <w:t>24</w:t>
      </w:r>
      <w:r w:rsidRPr="00EE7434">
        <w:t>) explore pathways to 100% renewable energy systems, demonstrating technical feasibility while acknowledging economic and institutional challenges. The CGE-I5 model's high renewable penetration scenarios (&gt;90% by 2040 under ETS2) are informed by these technical assessments.</w:t>
      </w:r>
    </w:p>
    <w:p w14:paraId="6850318F" w14:textId="0A11900F" w:rsidR="00732E3E" w:rsidRPr="00EE7434" w:rsidRDefault="0047439A" w:rsidP="00F15E0F">
      <w:pPr>
        <w:jc w:val="both"/>
        <w:rPr>
          <w:b/>
          <w:bCs/>
        </w:rPr>
      </w:pPr>
      <w:r w:rsidRPr="00EE7434">
        <w:rPr>
          <w:b/>
          <w:bCs/>
        </w:rPr>
        <w:t xml:space="preserve">3.5 </w:t>
      </w:r>
      <w:r w:rsidR="00A939B5" w:rsidRPr="00EE7434">
        <w:rPr>
          <w:b/>
          <w:bCs/>
        </w:rPr>
        <w:t>Recursive Dynamic CGE Modelling</w:t>
      </w:r>
    </w:p>
    <w:p w14:paraId="77C53E0F" w14:textId="03F33AFB" w:rsidR="00A939B5" w:rsidRPr="00EE7434" w:rsidRDefault="00A939B5" w:rsidP="00A939B5">
      <w:pPr>
        <w:jc w:val="both"/>
      </w:pPr>
      <w:r w:rsidRPr="00EE7434">
        <w:t>The recursive dynamic approach adopted in the CGE-I5 model follows the tradition established by</w:t>
      </w:r>
      <w:r w:rsidR="00DD5B31" w:rsidRPr="00EE7434">
        <w:t xml:space="preserve"> </w:t>
      </w:r>
      <w:r w:rsidRPr="00EE7434">
        <w:rPr>
          <w:highlight w:val="yellow"/>
        </w:rPr>
        <w:t xml:space="preserve">Robinson and </w:t>
      </w:r>
      <w:proofErr w:type="spellStart"/>
      <w:r w:rsidRPr="00EE7434">
        <w:rPr>
          <w:highlight w:val="yellow"/>
        </w:rPr>
        <w:t>Meijl</w:t>
      </w:r>
      <w:proofErr w:type="spellEnd"/>
      <w:r w:rsidRPr="00EE7434">
        <w:rPr>
          <w:highlight w:val="yellow"/>
        </w:rPr>
        <w:t xml:space="preserve"> (2006)</w:t>
      </w:r>
      <w:r w:rsidRPr="00EE7434">
        <w:t>. Unlike fully dynamic models with intertemporal optimisation, recursive dynamic models solve a sequence of static equilibria linked by dynamic updating rules for capital, labour, productivity, and other state variables.</w:t>
      </w:r>
      <w:r w:rsidRPr="00EE7434">
        <w:t xml:space="preserve"> </w:t>
      </w:r>
      <w:r w:rsidRPr="00EE7434">
        <w:t xml:space="preserve">Van der </w:t>
      </w:r>
      <w:proofErr w:type="spellStart"/>
      <w:r w:rsidRPr="00EE7434">
        <w:t>Mensbrugghe</w:t>
      </w:r>
      <w:proofErr w:type="spellEnd"/>
      <w:r w:rsidRPr="00EE7434">
        <w:t xml:space="preserve"> (2005) provides a comprehensive treatment of recursive dynamic CGE models in the context of long-run projections, emphasising the importance of consistent calibration and plausible dynamic parameters. The CGE-I5 model follows his recommendations for capital accumulation (investment-driven with depreciation), labour force evolution (based on demographic projections), and productivity growth (sector-specific total factor productivity).</w:t>
      </w:r>
    </w:p>
    <w:p w14:paraId="6520E761" w14:textId="6A4C44A3" w:rsidR="002E4EC9" w:rsidRPr="00EE7434" w:rsidRDefault="00A939B5" w:rsidP="00A939B5">
      <w:pPr>
        <w:jc w:val="both"/>
      </w:pPr>
      <w:r w:rsidRPr="00EE7434">
        <w:t>Wing (2004) discusses the treatment of energy-economy dynamics in recursive CGE models, particularly the representation of energy efficiency improvements (AEEI) and technological change in the energy sector. The CGE-I5 model employs an AEEI rate of 1.8% annually, which is consistent with empirical estimates for advanced economies (IEA, 202</w:t>
      </w:r>
      <w:r w:rsidR="005307F1" w:rsidRPr="00EE7434">
        <w:t>1</w:t>
      </w:r>
      <w:r w:rsidRPr="00EE7434">
        <w:t>).</w:t>
      </w:r>
      <w:r w:rsidRPr="00EE7434">
        <w:t xml:space="preserve"> </w:t>
      </w:r>
      <w:r w:rsidRPr="00EE7434">
        <w:t>Faehn et al. (2020) demonstrate the importance of modelling expectations and policy credibility in recursive dynamic frameworks, particularly in the context of climate policy analysis. While the CGE-I5 model employs myopic expectations (agents base their decisions on current and past information), sensitivity analysis explores the implications of alternative expectation formations.</w:t>
      </w:r>
    </w:p>
    <w:p w14:paraId="3A655793" w14:textId="77777777" w:rsidR="00173AD2" w:rsidRPr="00EE7434" w:rsidRDefault="00173AD2" w:rsidP="00A939B5">
      <w:pPr>
        <w:jc w:val="both"/>
      </w:pPr>
    </w:p>
    <w:p w14:paraId="354DC6B8" w14:textId="77777777" w:rsidR="00173AD2" w:rsidRPr="00EE7434" w:rsidRDefault="00173AD2" w:rsidP="00A939B5">
      <w:pPr>
        <w:jc w:val="both"/>
      </w:pPr>
    </w:p>
    <w:p w14:paraId="745128F5" w14:textId="0B779706" w:rsidR="00173AD2" w:rsidRPr="00EE7434" w:rsidRDefault="00AB6C11" w:rsidP="00A939B5">
      <w:pPr>
        <w:jc w:val="both"/>
        <w:rPr>
          <w:b/>
          <w:bCs/>
        </w:rPr>
      </w:pPr>
      <w:r w:rsidRPr="00EE7434">
        <w:rPr>
          <w:b/>
          <w:bCs/>
        </w:rPr>
        <w:lastRenderedPageBreak/>
        <w:t>3.6 Synthesis and Research Gap Addressed by CGE-I5</w:t>
      </w:r>
    </w:p>
    <w:p w14:paraId="0E9980B6" w14:textId="77777777" w:rsidR="00406D37" w:rsidRPr="00EE7434" w:rsidRDefault="00406D37" w:rsidP="00406D37">
      <w:pPr>
        <w:jc w:val="both"/>
      </w:pPr>
      <w:r w:rsidRPr="00EE7434">
        <w:t xml:space="preserve">The literature review reveals a mature body of research on CGE </w:t>
      </w:r>
      <w:proofErr w:type="spellStart"/>
      <w:r w:rsidRPr="00EE7434">
        <w:t>modeling</w:t>
      </w:r>
      <w:proofErr w:type="spellEnd"/>
      <w:r w:rsidRPr="00EE7434">
        <w:t>, energy-economy interactions, and climate policy analysis. However, several gaps remain that the CGE-I5 model aims to address:</w:t>
      </w:r>
    </w:p>
    <w:p w14:paraId="31EB709A" w14:textId="77777777" w:rsidR="00406D37" w:rsidRPr="00EE7434" w:rsidRDefault="00406D37" w:rsidP="00406D37">
      <w:pPr>
        <w:pStyle w:val="ListParagraph"/>
        <w:numPr>
          <w:ilvl w:val="0"/>
          <w:numId w:val="18"/>
        </w:numPr>
        <w:jc w:val="both"/>
      </w:pPr>
      <w:r w:rsidRPr="00EE7434">
        <w:t>Limited regional disaggregation in existing Italian CGE models: While national-level models exist, few provide the five-region disaggregation needed to assess distributional impacts across Italy's diverse economic geography.</w:t>
      </w:r>
    </w:p>
    <w:p w14:paraId="304B9D69" w14:textId="77777777" w:rsidR="00406D37" w:rsidRPr="00EE7434" w:rsidRDefault="00406D37" w:rsidP="00406D37">
      <w:pPr>
        <w:pStyle w:val="ListParagraph"/>
        <w:numPr>
          <w:ilvl w:val="0"/>
          <w:numId w:val="18"/>
        </w:numPr>
        <w:jc w:val="both"/>
      </w:pPr>
      <w:r w:rsidRPr="00EE7434">
        <w:t>Incomplete representation of EU ETS Phase 4 and ETS2: Many existing models predate the Market Stability Reserve and proposed buildings/transport extension, limiting their relevance for current policy debates.</w:t>
      </w:r>
    </w:p>
    <w:p w14:paraId="5FE29A56" w14:textId="77777777" w:rsidR="00406D37" w:rsidRPr="00EE7434" w:rsidRDefault="00406D37" w:rsidP="00406D37">
      <w:pPr>
        <w:pStyle w:val="ListParagraph"/>
        <w:numPr>
          <w:ilvl w:val="0"/>
          <w:numId w:val="18"/>
        </w:numPr>
        <w:jc w:val="both"/>
      </w:pPr>
      <w:r w:rsidRPr="00EE7434">
        <w:t>Need for integrated assessment of just transition: Combining economic, energy, and regional equity dimensions in a single framework remains challenging, yet essential for comprehensive policy analysis.</w:t>
      </w:r>
    </w:p>
    <w:p w14:paraId="1347C33D" w14:textId="77777777" w:rsidR="00406D37" w:rsidRPr="00EE7434" w:rsidRDefault="00406D37" w:rsidP="00406D37">
      <w:pPr>
        <w:pStyle w:val="ListParagraph"/>
        <w:numPr>
          <w:ilvl w:val="0"/>
          <w:numId w:val="18"/>
        </w:numPr>
        <w:jc w:val="both"/>
      </w:pPr>
      <w:r w:rsidRPr="00EE7434">
        <w:t>Calibration to post-COVID data: Using 2021 as the base year provides a more recent and relevant starting point than models calibrated to 2015 or earlier.</w:t>
      </w:r>
    </w:p>
    <w:p w14:paraId="4319C783" w14:textId="77777777" w:rsidR="00406D37" w:rsidRPr="00EE7434" w:rsidRDefault="00406D37" w:rsidP="00406D37">
      <w:pPr>
        <w:pStyle w:val="ListParagraph"/>
        <w:numPr>
          <w:ilvl w:val="0"/>
          <w:numId w:val="18"/>
        </w:numPr>
        <w:jc w:val="both"/>
      </w:pPr>
      <w:r w:rsidRPr="00EE7434">
        <w:t xml:space="preserve">Open-source and transparent </w:t>
      </w:r>
      <w:proofErr w:type="spellStart"/>
      <w:r w:rsidRPr="00EE7434">
        <w:t>modeling</w:t>
      </w:r>
      <w:proofErr w:type="spellEnd"/>
      <w:r w:rsidRPr="00EE7434">
        <w:t xml:space="preserve">: The CGE-I5 model is developed with open documentation and aims for reproducibility, addressing calls for greater transparency in climate policy </w:t>
      </w:r>
      <w:proofErr w:type="spellStart"/>
      <w:r w:rsidRPr="00EE7434">
        <w:t>modeling</w:t>
      </w:r>
      <w:proofErr w:type="spellEnd"/>
      <w:r w:rsidRPr="00EE7434">
        <w:t xml:space="preserve"> (Pindyck, 2017).</w:t>
      </w:r>
    </w:p>
    <w:p w14:paraId="65DE2449" w14:textId="4F07C9F3" w:rsidR="00864E51" w:rsidRPr="00EE7434" w:rsidRDefault="00406D37" w:rsidP="00406D37">
      <w:pPr>
        <w:jc w:val="both"/>
      </w:pPr>
      <w:r w:rsidRPr="00EE7434">
        <w:t>By building on established methodologies while addressing these gaps, the CGE-I5 model contributes to the literature on Italian climate policy analysis and provides a tool for evidence-based policymaking in the crucial decade ahead.</w:t>
      </w:r>
    </w:p>
    <w:p w14:paraId="72C74DBC" w14:textId="77777777" w:rsidR="00CD27F5" w:rsidRPr="0027042D" w:rsidRDefault="00DB1A4C" w:rsidP="00CD27F5">
      <w:pPr>
        <w:jc w:val="both"/>
        <w:rPr>
          <w:b/>
          <w:bCs/>
        </w:rPr>
      </w:pPr>
      <w:r w:rsidRPr="0027042D">
        <w:rPr>
          <w:b/>
          <w:bCs/>
        </w:rPr>
        <w:t xml:space="preserve">4. </w:t>
      </w:r>
      <w:r w:rsidR="00CD27F5" w:rsidRPr="0027042D">
        <w:rPr>
          <w:b/>
          <w:bCs/>
        </w:rPr>
        <w:t>Model Structure and Methodology</w:t>
      </w:r>
    </w:p>
    <w:p w14:paraId="5593603E" w14:textId="62FE20C7" w:rsidR="00864E51" w:rsidRDefault="00CD27F5" w:rsidP="00CD27F5">
      <w:pPr>
        <w:jc w:val="both"/>
      </w:pPr>
      <w:r>
        <w:t>The CGE-I5 model is a recursive dynamic computable general equilibrium model designed to capture the complex interactions between economic activity, energy systems, and environmental outcomes in Italy. This section provides a comprehensive description of the model structure, including the representation of production, consumption, trade, energy-environment linkages, and market clearing conditions.</w:t>
      </w:r>
    </w:p>
    <w:p w14:paraId="4C70B4BB" w14:textId="5C268561" w:rsidR="0027042D" w:rsidRPr="0027042D" w:rsidRDefault="0027042D" w:rsidP="0027042D">
      <w:pPr>
        <w:jc w:val="both"/>
        <w:rPr>
          <w:b/>
          <w:bCs/>
        </w:rPr>
      </w:pPr>
      <w:r w:rsidRPr="0027042D">
        <w:rPr>
          <w:b/>
          <w:bCs/>
        </w:rPr>
        <w:t>4.1 Overall Model Architecture</w:t>
      </w:r>
    </w:p>
    <w:p w14:paraId="1AD23D2E" w14:textId="77777777" w:rsidR="0027042D" w:rsidRDefault="0027042D" w:rsidP="0027042D">
      <w:pPr>
        <w:jc w:val="both"/>
      </w:pPr>
      <w:r>
        <w:t>The CGE-I5 model consists of six integrated blocks that collectively determine equilibrium prices and quantities across all markets:</w:t>
      </w:r>
    </w:p>
    <w:p w14:paraId="0E81DFFC" w14:textId="6B7DC123" w:rsidR="0027042D" w:rsidRDefault="0027042D" w:rsidP="0027042D">
      <w:pPr>
        <w:pStyle w:val="ListParagraph"/>
        <w:numPr>
          <w:ilvl w:val="0"/>
          <w:numId w:val="19"/>
        </w:numPr>
        <w:jc w:val="both"/>
      </w:pPr>
      <w:r>
        <w:t>Production Block: Determines sectoral output, factor demands, and intermediate input requirements</w:t>
      </w:r>
    </w:p>
    <w:p w14:paraId="277A8AF5" w14:textId="1BA7BB65" w:rsidR="0027042D" w:rsidRDefault="0027042D" w:rsidP="0027042D">
      <w:pPr>
        <w:pStyle w:val="ListParagraph"/>
        <w:numPr>
          <w:ilvl w:val="0"/>
          <w:numId w:val="19"/>
        </w:numPr>
        <w:jc w:val="both"/>
      </w:pPr>
      <w:r>
        <w:t>Income-Expenditure Block: Governs household and government income, consumption, and savings</w:t>
      </w:r>
    </w:p>
    <w:p w14:paraId="2331ACA0" w14:textId="11F7A629" w:rsidR="0027042D" w:rsidRDefault="0027042D" w:rsidP="0027042D">
      <w:pPr>
        <w:pStyle w:val="ListParagraph"/>
        <w:numPr>
          <w:ilvl w:val="0"/>
          <w:numId w:val="19"/>
        </w:numPr>
        <w:jc w:val="both"/>
      </w:pPr>
      <w:r>
        <w:t>Trade Block: Models international trade flows with import-export decisions</w:t>
      </w:r>
    </w:p>
    <w:p w14:paraId="43B844E0" w14:textId="246DDB3F" w:rsidR="0027042D" w:rsidRDefault="0027042D" w:rsidP="0027042D">
      <w:pPr>
        <w:pStyle w:val="ListParagraph"/>
        <w:numPr>
          <w:ilvl w:val="0"/>
          <w:numId w:val="19"/>
        </w:numPr>
        <w:jc w:val="both"/>
      </w:pPr>
      <w:r>
        <w:lastRenderedPageBreak/>
        <w:t>Energy-Environment Block: Tracks energy demand, CO₂ emissions, and climate policy instruments</w:t>
      </w:r>
    </w:p>
    <w:p w14:paraId="0F371B8C" w14:textId="15284D30" w:rsidR="0027042D" w:rsidRDefault="0027042D" w:rsidP="0027042D">
      <w:pPr>
        <w:pStyle w:val="ListParagraph"/>
        <w:numPr>
          <w:ilvl w:val="0"/>
          <w:numId w:val="19"/>
        </w:numPr>
        <w:jc w:val="both"/>
      </w:pPr>
      <w:r>
        <w:t>Market Clearing Block: Ensures supply-demand equilibrium in all markets</w:t>
      </w:r>
    </w:p>
    <w:p w14:paraId="502878FD" w14:textId="028654C2" w:rsidR="0027042D" w:rsidRDefault="0027042D" w:rsidP="0027042D">
      <w:pPr>
        <w:pStyle w:val="ListParagraph"/>
        <w:numPr>
          <w:ilvl w:val="0"/>
          <w:numId w:val="19"/>
        </w:numPr>
        <w:jc w:val="both"/>
      </w:pPr>
      <w:r>
        <w:t>Macro Indicators Block: Calculates aggregate economic indicators (GDP, CPI, PPI)</w:t>
      </w:r>
    </w:p>
    <w:p w14:paraId="3BB6656A" w14:textId="62C78A45" w:rsidR="0027042D" w:rsidRDefault="0027042D" w:rsidP="0027042D">
      <w:pPr>
        <w:jc w:val="both"/>
      </w:pPr>
      <w:r>
        <w:t xml:space="preserve">The model employs a bottom-up aggregation approach where sectoral and regional components are solved simultaneously to achieve general equilibrium. The recursive dynamic framework links consecutive periods through capital accumulation, </w:t>
      </w:r>
      <w:r w:rsidR="00893E94">
        <w:t>labour</w:t>
      </w:r>
      <w:r>
        <w:t xml:space="preserve"> force evolution, and technological progress.</w:t>
      </w:r>
    </w:p>
    <w:p w14:paraId="5724D60C" w14:textId="28A31A60" w:rsidR="0027042D" w:rsidRPr="00EE7434" w:rsidRDefault="0027042D" w:rsidP="0027042D">
      <w:pPr>
        <w:jc w:val="both"/>
      </w:pPr>
      <w:r>
        <w:rPr>
          <w:rFonts w:hint="eastAsia"/>
        </w:rPr>
        <w:t>Model Flow: The model solves iteratively within each time period: (1) Production sectors optimize output given prices (2) Factor markets clear (3) Households and government make consumption decisions (4) Energy demand and emissions determined</w:t>
      </w:r>
      <w:r w:rsidR="001D1E2E">
        <w:t xml:space="preserve"> </w:t>
      </w:r>
      <w:r>
        <w:rPr>
          <w:rFonts w:hint="eastAsia"/>
        </w:rPr>
        <w:t>(5) Trade flows adjust</w:t>
      </w:r>
      <w:r w:rsidR="001D1E2E">
        <w:t xml:space="preserve"> </w:t>
      </w:r>
      <w:r>
        <w:rPr>
          <w:rFonts w:hint="eastAsia"/>
        </w:rPr>
        <w:t>(6) Market clearing achieved (7) Macro indicators calculated. This equilibrium solution for period t becomes the basis for dynamic updating to period t+1.</w:t>
      </w:r>
    </w:p>
    <w:p w14:paraId="294FA221" w14:textId="77777777" w:rsidR="004844F3" w:rsidRDefault="0022464E" w:rsidP="004844F3">
      <w:pPr>
        <w:jc w:val="both"/>
      </w:pPr>
      <w:r>
        <w:t xml:space="preserve">4.2 </w:t>
      </w:r>
      <w:r w:rsidR="004844F3">
        <w:t>Production Block</w:t>
      </w:r>
    </w:p>
    <w:p w14:paraId="6F0B877B" w14:textId="60A35E4D" w:rsidR="004844F3" w:rsidRDefault="004844F3" w:rsidP="004844F3">
      <w:pPr>
        <w:jc w:val="both"/>
      </w:pPr>
      <w:r>
        <w:t>4.2.1 Sectoral Disaggregation</w:t>
      </w:r>
    </w:p>
    <w:p w14:paraId="673DD052" w14:textId="28595C11" w:rsidR="00E938F5" w:rsidRDefault="004844F3" w:rsidP="004844F3">
      <w:pPr>
        <w:jc w:val="both"/>
      </w:pPr>
      <w:r>
        <w:t>The production side of the economy is disaggregated into 11 sectors, chosen to provide adequate detail for energy and climate policy analysis while maintaining computational tractability:</w:t>
      </w:r>
    </w:p>
    <w:tbl>
      <w:tblPr>
        <w:tblStyle w:val="LightGrid-Accent1"/>
        <w:tblW w:w="0" w:type="auto"/>
        <w:tblInd w:w="288" w:type="dxa"/>
        <w:tblLook w:val="04A0" w:firstRow="1" w:lastRow="0" w:firstColumn="1" w:lastColumn="0" w:noHBand="0" w:noVBand="1"/>
      </w:tblPr>
      <w:tblGrid>
        <w:gridCol w:w="2592"/>
        <w:gridCol w:w="2880"/>
        <w:gridCol w:w="2718"/>
      </w:tblGrid>
      <w:tr w:rsidR="00C61A7A" w14:paraId="287A7469" w14:textId="77777777" w:rsidTr="00C61A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0B240E8" w14:textId="77777777" w:rsidR="00C61A7A" w:rsidRDefault="00C61A7A" w:rsidP="00FA7BE0">
            <w:r>
              <w:t>Sector Code</w:t>
            </w:r>
          </w:p>
        </w:tc>
        <w:tc>
          <w:tcPr>
            <w:tcW w:w="2880" w:type="dxa"/>
          </w:tcPr>
          <w:p w14:paraId="6170EFCD" w14:textId="77777777" w:rsidR="00C61A7A" w:rsidRDefault="00C61A7A" w:rsidP="00FA7BE0">
            <w:pPr>
              <w:cnfStyle w:val="100000000000" w:firstRow="1" w:lastRow="0" w:firstColumn="0" w:lastColumn="0" w:oddVBand="0" w:evenVBand="0" w:oddHBand="0" w:evenHBand="0" w:firstRowFirstColumn="0" w:firstRowLastColumn="0" w:lastRowFirstColumn="0" w:lastRowLastColumn="0"/>
            </w:pPr>
            <w:r>
              <w:t>Sector Name</w:t>
            </w:r>
          </w:p>
        </w:tc>
        <w:tc>
          <w:tcPr>
            <w:tcW w:w="2718" w:type="dxa"/>
          </w:tcPr>
          <w:p w14:paraId="44AC7E6A" w14:textId="77777777" w:rsidR="00C61A7A" w:rsidRDefault="00C61A7A" w:rsidP="00FA7BE0">
            <w:pPr>
              <w:cnfStyle w:val="100000000000" w:firstRow="1" w:lastRow="0" w:firstColumn="0" w:lastColumn="0" w:oddVBand="0" w:evenVBand="0" w:oddHBand="0" w:evenHBand="0" w:firstRowFirstColumn="0" w:firstRowLastColumn="0" w:lastRowFirstColumn="0" w:lastRowLastColumn="0"/>
            </w:pPr>
            <w:r>
              <w:t>Key Characteristics</w:t>
            </w:r>
          </w:p>
        </w:tc>
      </w:tr>
      <w:tr w:rsidR="00C61A7A" w14:paraId="7590EDAB" w14:textId="77777777" w:rsidTr="00C61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CD0BA0E" w14:textId="77777777" w:rsidR="00C61A7A" w:rsidRDefault="00C61A7A" w:rsidP="00FA7BE0">
            <w:r>
              <w:t>AGR</w:t>
            </w:r>
          </w:p>
        </w:tc>
        <w:tc>
          <w:tcPr>
            <w:tcW w:w="2880" w:type="dxa"/>
          </w:tcPr>
          <w:p w14:paraId="6E7EAA16" w14:textId="77777777" w:rsidR="00C61A7A" w:rsidRDefault="00C61A7A" w:rsidP="00FA7BE0">
            <w:pPr>
              <w:cnfStyle w:val="000000100000" w:firstRow="0" w:lastRow="0" w:firstColumn="0" w:lastColumn="0" w:oddVBand="0" w:evenVBand="0" w:oddHBand="1" w:evenHBand="0" w:firstRowFirstColumn="0" w:firstRowLastColumn="0" w:lastRowFirstColumn="0" w:lastRowLastColumn="0"/>
            </w:pPr>
            <w:r>
              <w:t>Agriculture</w:t>
            </w:r>
          </w:p>
        </w:tc>
        <w:tc>
          <w:tcPr>
            <w:tcW w:w="2718" w:type="dxa"/>
          </w:tcPr>
          <w:p w14:paraId="0C5009B4" w14:textId="77777777" w:rsidR="00C61A7A" w:rsidRDefault="00C61A7A" w:rsidP="00FA7BE0">
            <w:pPr>
              <w:cnfStyle w:val="000000100000" w:firstRow="0" w:lastRow="0" w:firstColumn="0" w:lastColumn="0" w:oddVBand="0" w:evenVBand="0" w:oddHBand="1" w:evenHBand="0" w:firstRowFirstColumn="0" w:firstRowLastColumn="0" w:lastRowFirstColumn="0" w:lastRowLastColumn="0"/>
            </w:pPr>
            <w:r>
              <w:t>Primary production, land-intensive</w:t>
            </w:r>
          </w:p>
        </w:tc>
      </w:tr>
      <w:tr w:rsidR="00C61A7A" w14:paraId="5117CE0F" w14:textId="77777777" w:rsidTr="00C61A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3FAAA90" w14:textId="77777777" w:rsidR="00C61A7A" w:rsidRDefault="00C61A7A" w:rsidP="00FA7BE0">
            <w:r>
              <w:t>IND</w:t>
            </w:r>
          </w:p>
        </w:tc>
        <w:tc>
          <w:tcPr>
            <w:tcW w:w="2880" w:type="dxa"/>
          </w:tcPr>
          <w:p w14:paraId="526E3073" w14:textId="77777777" w:rsidR="00C61A7A" w:rsidRDefault="00C61A7A" w:rsidP="00FA7BE0">
            <w:pPr>
              <w:cnfStyle w:val="000000010000" w:firstRow="0" w:lastRow="0" w:firstColumn="0" w:lastColumn="0" w:oddVBand="0" w:evenVBand="0" w:oddHBand="0" w:evenHBand="1" w:firstRowFirstColumn="0" w:firstRowLastColumn="0" w:lastRowFirstColumn="0" w:lastRowLastColumn="0"/>
            </w:pPr>
            <w:r>
              <w:t>Industry</w:t>
            </w:r>
          </w:p>
        </w:tc>
        <w:tc>
          <w:tcPr>
            <w:tcW w:w="2718" w:type="dxa"/>
          </w:tcPr>
          <w:p w14:paraId="68459952" w14:textId="77777777" w:rsidR="00C61A7A" w:rsidRDefault="00C61A7A" w:rsidP="00FA7BE0">
            <w:pPr>
              <w:cnfStyle w:val="000000010000" w:firstRow="0" w:lastRow="0" w:firstColumn="0" w:lastColumn="0" w:oddVBand="0" w:evenVBand="0" w:oddHBand="0" w:evenHBand="1" w:firstRowFirstColumn="0" w:firstRowLastColumn="0" w:lastRowFirstColumn="0" w:lastRowLastColumn="0"/>
            </w:pPr>
            <w:r>
              <w:t>Manufacturing, construction, mining</w:t>
            </w:r>
          </w:p>
        </w:tc>
      </w:tr>
      <w:tr w:rsidR="00C61A7A" w14:paraId="444B6CAC" w14:textId="77777777" w:rsidTr="00C61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948E52D" w14:textId="77777777" w:rsidR="00C61A7A" w:rsidRDefault="00C61A7A" w:rsidP="00FA7BE0">
            <w:r>
              <w:t>RENEW</w:t>
            </w:r>
          </w:p>
        </w:tc>
        <w:tc>
          <w:tcPr>
            <w:tcW w:w="2880" w:type="dxa"/>
          </w:tcPr>
          <w:p w14:paraId="1C8CAD04" w14:textId="77777777" w:rsidR="00C61A7A" w:rsidRDefault="00C61A7A" w:rsidP="00FA7BE0">
            <w:pPr>
              <w:cnfStyle w:val="000000100000" w:firstRow="0" w:lastRow="0" w:firstColumn="0" w:lastColumn="0" w:oddVBand="0" w:evenVBand="0" w:oddHBand="1" w:evenHBand="0" w:firstRowFirstColumn="0" w:firstRowLastColumn="0" w:lastRowFirstColumn="0" w:lastRowLastColumn="0"/>
            </w:pPr>
            <w:r>
              <w:t>Renewables</w:t>
            </w:r>
          </w:p>
        </w:tc>
        <w:tc>
          <w:tcPr>
            <w:tcW w:w="2718" w:type="dxa"/>
          </w:tcPr>
          <w:p w14:paraId="5BD638BC" w14:textId="77777777" w:rsidR="00C61A7A" w:rsidRDefault="00C61A7A" w:rsidP="00FA7BE0">
            <w:pPr>
              <w:cnfStyle w:val="000000100000" w:firstRow="0" w:lastRow="0" w:firstColumn="0" w:lastColumn="0" w:oddVBand="0" w:evenVBand="0" w:oddHBand="1" w:evenHBand="0" w:firstRowFirstColumn="0" w:firstRowLastColumn="0" w:lastRowFirstColumn="0" w:lastRowLastColumn="0"/>
            </w:pPr>
            <w:r>
              <w:t>Solar, wind, hydro, biomass electricity</w:t>
            </w:r>
          </w:p>
        </w:tc>
      </w:tr>
      <w:tr w:rsidR="00C61A7A" w14:paraId="587F73DB" w14:textId="77777777" w:rsidTr="00C61A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C94DD4D" w14:textId="77777777" w:rsidR="00C61A7A" w:rsidRDefault="00C61A7A" w:rsidP="00FA7BE0">
            <w:r>
              <w:t>GAS</w:t>
            </w:r>
          </w:p>
        </w:tc>
        <w:tc>
          <w:tcPr>
            <w:tcW w:w="2880" w:type="dxa"/>
          </w:tcPr>
          <w:p w14:paraId="15FA8C25" w14:textId="77777777" w:rsidR="00C61A7A" w:rsidRDefault="00C61A7A" w:rsidP="00FA7BE0">
            <w:pPr>
              <w:cnfStyle w:val="000000010000" w:firstRow="0" w:lastRow="0" w:firstColumn="0" w:lastColumn="0" w:oddVBand="0" w:evenVBand="0" w:oddHBand="0" w:evenHBand="1" w:firstRowFirstColumn="0" w:firstRowLastColumn="0" w:lastRowFirstColumn="0" w:lastRowLastColumn="0"/>
            </w:pPr>
            <w:r>
              <w:t>Gas</w:t>
            </w:r>
          </w:p>
        </w:tc>
        <w:tc>
          <w:tcPr>
            <w:tcW w:w="2718" w:type="dxa"/>
          </w:tcPr>
          <w:p w14:paraId="47DF319F" w14:textId="77777777" w:rsidR="00C61A7A" w:rsidRDefault="00C61A7A" w:rsidP="00FA7BE0">
            <w:pPr>
              <w:cnfStyle w:val="000000010000" w:firstRow="0" w:lastRow="0" w:firstColumn="0" w:lastColumn="0" w:oddVBand="0" w:evenVBand="0" w:oddHBand="0" w:evenHBand="1" w:firstRowFirstColumn="0" w:firstRowLastColumn="0" w:lastRowFirstColumn="0" w:lastRowLastColumn="0"/>
            </w:pPr>
            <w:r>
              <w:t>Natural gas supply and distribution</w:t>
            </w:r>
          </w:p>
        </w:tc>
      </w:tr>
      <w:tr w:rsidR="00C61A7A" w14:paraId="666FA536" w14:textId="77777777" w:rsidTr="00C61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C8C8342" w14:textId="77777777" w:rsidR="00C61A7A" w:rsidRDefault="00C61A7A" w:rsidP="00FA7BE0">
            <w:r>
              <w:t>OENERGY</w:t>
            </w:r>
          </w:p>
        </w:tc>
        <w:tc>
          <w:tcPr>
            <w:tcW w:w="2880" w:type="dxa"/>
          </w:tcPr>
          <w:p w14:paraId="259447A1" w14:textId="77777777" w:rsidR="00C61A7A" w:rsidRDefault="00C61A7A" w:rsidP="00FA7BE0">
            <w:pPr>
              <w:cnfStyle w:val="000000100000" w:firstRow="0" w:lastRow="0" w:firstColumn="0" w:lastColumn="0" w:oddVBand="0" w:evenVBand="0" w:oddHBand="1" w:evenHBand="0" w:firstRowFirstColumn="0" w:firstRowLastColumn="0" w:lastRowFirstColumn="0" w:lastRowLastColumn="0"/>
            </w:pPr>
            <w:r>
              <w:t>Other Energy</w:t>
            </w:r>
          </w:p>
        </w:tc>
        <w:tc>
          <w:tcPr>
            <w:tcW w:w="2718" w:type="dxa"/>
          </w:tcPr>
          <w:p w14:paraId="448CBE5C" w14:textId="77777777" w:rsidR="00C61A7A" w:rsidRDefault="00C61A7A" w:rsidP="00FA7BE0">
            <w:pPr>
              <w:cnfStyle w:val="000000100000" w:firstRow="0" w:lastRow="0" w:firstColumn="0" w:lastColumn="0" w:oddVBand="0" w:evenVBand="0" w:oddHBand="1" w:evenHBand="0" w:firstRowFirstColumn="0" w:firstRowLastColumn="0" w:lastRowFirstColumn="0" w:lastRowLastColumn="0"/>
            </w:pPr>
            <w:r>
              <w:t>Oil products, coal, direct renewables</w:t>
            </w:r>
          </w:p>
        </w:tc>
      </w:tr>
      <w:tr w:rsidR="00C61A7A" w14:paraId="5A8A0578" w14:textId="77777777" w:rsidTr="00C61A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42207FE" w14:textId="77777777" w:rsidR="00C61A7A" w:rsidRDefault="00C61A7A" w:rsidP="00FA7BE0">
            <w:r>
              <w:t>ROAD</w:t>
            </w:r>
          </w:p>
        </w:tc>
        <w:tc>
          <w:tcPr>
            <w:tcW w:w="2880" w:type="dxa"/>
          </w:tcPr>
          <w:p w14:paraId="08999363" w14:textId="77777777" w:rsidR="00C61A7A" w:rsidRDefault="00C61A7A" w:rsidP="00FA7BE0">
            <w:pPr>
              <w:cnfStyle w:val="000000010000" w:firstRow="0" w:lastRow="0" w:firstColumn="0" w:lastColumn="0" w:oddVBand="0" w:evenVBand="0" w:oddHBand="0" w:evenHBand="1" w:firstRowFirstColumn="0" w:firstRowLastColumn="0" w:lastRowFirstColumn="0" w:lastRowLastColumn="0"/>
            </w:pPr>
            <w:r>
              <w:t>Road Transport</w:t>
            </w:r>
          </w:p>
        </w:tc>
        <w:tc>
          <w:tcPr>
            <w:tcW w:w="2718" w:type="dxa"/>
          </w:tcPr>
          <w:p w14:paraId="06B7F6F7" w14:textId="77777777" w:rsidR="00C61A7A" w:rsidRDefault="00C61A7A" w:rsidP="00FA7BE0">
            <w:pPr>
              <w:cnfStyle w:val="000000010000" w:firstRow="0" w:lastRow="0" w:firstColumn="0" w:lastColumn="0" w:oddVBand="0" w:evenVBand="0" w:oddHBand="0" w:evenHBand="1" w:firstRowFirstColumn="0" w:firstRowLastColumn="0" w:lastRowFirstColumn="0" w:lastRowLastColumn="0"/>
            </w:pPr>
            <w:r>
              <w:t>Passenger and freight road transport</w:t>
            </w:r>
          </w:p>
        </w:tc>
      </w:tr>
      <w:tr w:rsidR="00C61A7A" w14:paraId="62CA2659" w14:textId="77777777" w:rsidTr="00C61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C00BF15" w14:textId="77777777" w:rsidR="00C61A7A" w:rsidRDefault="00C61A7A" w:rsidP="00FA7BE0">
            <w:r>
              <w:t>RAIL</w:t>
            </w:r>
          </w:p>
        </w:tc>
        <w:tc>
          <w:tcPr>
            <w:tcW w:w="2880" w:type="dxa"/>
          </w:tcPr>
          <w:p w14:paraId="43AF7773" w14:textId="77777777" w:rsidR="00C61A7A" w:rsidRDefault="00C61A7A" w:rsidP="00FA7BE0">
            <w:pPr>
              <w:cnfStyle w:val="000000100000" w:firstRow="0" w:lastRow="0" w:firstColumn="0" w:lastColumn="0" w:oddVBand="0" w:evenVBand="0" w:oddHBand="1" w:evenHBand="0" w:firstRowFirstColumn="0" w:firstRowLastColumn="0" w:lastRowFirstColumn="0" w:lastRowLastColumn="0"/>
            </w:pPr>
            <w:r>
              <w:t>Rail Transport</w:t>
            </w:r>
          </w:p>
        </w:tc>
        <w:tc>
          <w:tcPr>
            <w:tcW w:w="2718" w:type="dxa"/>
          </w:tcPr>
          <w:p w14:paraId="3D864321" w14:textId="77777777" w:rsidR="00C61A7A" w:rsidRDefault="00C61A7A" w:rsidP="00FA7BE0">
            <w:pPr>
              <w:cnfStyle w:val="000000100000" w:firstRow="0" w:lastRow="0" w:firstColumn="0" w:lastColumn="0" w:oddVBand="0" w:evenVBand="0" w:oddHBand="1" w:evenHBand="0" w:firstRowFirstColumn="0" w:firstRowLastColumn="0" w:lastRowFirstColumn="0" w:lastRowLastColumn="0"/>
            </w:pPr>
            <w:r>
              <w:t>Railway passenger and freight</w:t>
            </w:r>
          </w:p>
        </w:tc>
      </w:tr>
      <w:tr w:rsidR="00C61A7A" w14:paraId="7765A27D" w14:textId="77777777" w:rsidTr="00C61A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02E0A9D" w14:textId="77777777" w:rsidR="00C61A7A" w:rsidRDefault="00C61A7A" w:rsidP="00FA7BE0">
            <w:r>
              <w:t>AIR</w:t>
            </w:r>
          </w:p>
        </w:tc>
        <w:tc>
          <w:tcPr>
            <w:tcW w:w="2880" w:type="dxa"/>
          </w:tcPr>
          <w:p w14:paraId="0159DA31" w14:textId="77777777" w:rsidR="00C61A7A" w:rsidRDefault="00C61A7A" w:rsidP="00FA7BE0">
            <w:pPr>
              <w:cnfStyle w:val="000000010000" w:firstRow="0" w:lastRow="0" w:firstColumn="0" w:lastColumn="0" w:oddVBand="0" w:evenVBand="0" w:oddHBand="0" w:evenHBand="1" w:firstRowFirstColumn="0" w:firstRowLastColumn="0" w:lastRowFirstColumn="0" w:lastRowLastColumn="0"/>
            </w:pPr>
            <w:r>
              <w:t>Air Transport</w:t>
            </w:r>
          </w:p>
        </w:tc>
        <w:tc>
          <w:tcPr>
            <w:tcW w:w="2718" w:type="dxa"/>
          </w:tcPr>
          <w:p w14:paraId="6F144345" w14:textId="77777777" w:rsidR="00C61A7A" w:rsidRDefault="00C61A7A" w:rsidP="00FA7BE0">
            <w:pPr>
              <w:cnfStyle w:val="000000010000" w:firstRow="0" w:lastRow="0" w:firstColumn="0" w:lastColumn="0" w:oddVBand="0" w:evenVBand="0" w:oddHBand="0" w:evenHBand="1" w:firstRowFirstColumn="0" w:firstRowLastColumn="0" w:lastRowFirstColumn="0" w:lastRowLastColumn="0"/>
            </w:pPr>
            <w:r>
              <w:t>Aviation services</w:t>
            </w:r>
          </w:p>
        </w:tc>
      </w:tr>
      <w:tr w:rsidR="00C61A7A" w14:paraId="0B9F7721" w14:textId="77777777" w:rsidTr="00C61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11794B7" w14:textId="77777777" w:rsidR="00C61A7A" w:rsidRDefault="00C61A7A" w:rsidP="00FA7BE0">
            <w:r>
              <w:t>WATER</w:t>
            </w:r>
          </w:p>
        </w:tc>
        <w:tc>
          <w:tcPr>
            <w:tcW w:w="2880" w:type="dxa"/>
          </w:tcPr>
          <w:p w14:paraId="50B0FB55" w14:textId="77777777" w:rsidR="00C61A7A" w:rsidRDefault="00C61A7A" w:rsidP="00FA7BE0">
            <w:pPr>
              <w:cnfStyle w:val="000000100000" w:firstRow="0" w:lastRow="0" w:firstColumn="0" w:lastColumn="0" w:oddVBand="0" w:evenVBand="0" w:oddHBand="1" w:evenHBand="0" w:firstRowFirstColumn="0" w:firstRowLastColumn="0" w:lastRowFirstColumn="0" w:lastRowLastColumn="0"/>
            </w:pPr>
            <w:r>
              <w:t>Water Transport</w:t>
            </w:r>
          </w:p>
        </w:tc>
        <w:tc>
          <w:tcPr>
            <w:tcW w:w="2718" w:type="dxa"/>
          </w:tcPr>
          <w:p w14:paraId="30A6D754" w14:textId="77777777" w:rsidR="00C61A7A" w:rsidRDefault="00C61A7A" w:rsidP="00FA7BE0">
            <w:pPr>
              <w:cnfStyle w:val="000000100000" w:firstRow="0" w:lastRow="0" w:firstColumn="0" w:lastColumn="0" w:oddVBand="0" w:evenVBand="0" w:oddHBand="1" w:evenHBand="0" w:firstRowFirstColumn="0" w:firstRowLastColumn="0" w:lastRowFirstColumn="0" w:lastRowLastColumn="0"/>
            </w:pPr>
            <w:r>
              <w:t>Maritime and inland waterways</w:t>
            </w:r>
          </w:p>
        </w:tc>
      </w:tr>
      <w:tr w:rsidR="00C61A7A" w14:paraId="71E66B3B" w14:textId="77777777" w:rsidTr="00C61A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FA9D6A5" w14:textId="77777777" w:rsidR="00C61A7A" w:rsidRDefault="00C61A7A" w:rsidP="00FA7BE0">
            <w:r>
              <w:t>OTRANS</w:t>
            </w:r>
          </w:p>
        </w:tc>
        <w:tc>
          <w:tcPr>
            <w:tcW w:w="2880" w:type="dxa"/>
          </w:tcPr>
          <w:p w14:paraId="319C77D8" w14:textId="77777777" w:rsidR="00C61A7A" w:rsidRDefault="00C61A7A" w:rsidP="00FA7BE0">
            <w:pPr>
              <w:cnfStyle w:val="000000010000" w:firstRow="0" w:lastRow="0" w:firstColumn="0" w:lastColumn="0" w:oddVBand="0" w:evenVBand="0" w:oddHBand="0" w:evenHBand="1" w:firstRowFirstColumn="0" w:firstRowLastColumn="0" w:lastRowFirstColumn="0" w:lastRowLastColumn="0"/>
            </w:pPr>
            <w:r>
              <w:t>Other Transport</w:t>
            </w:r>
          </w:p>
        </w:tc>
        <w:tc>
          <w:tcPr>
            <w:tcW w:w="2718" w:type="dxa"/>
          </w:tcPr>
          <w:p w14:paraId="5AAE75B4" w14:textId="77777777" w:rsidR="00C61A7A" w:rsidRDefault="00C61A7A" w:rsidP="00FA7BE0">
            <w:pPr>
              <w:cnfStyle w:val="000000010000" w:firstRow="0" w:lastRow="0" w:firstColumn="0" w:lastColumn="0" w:oddVBand="0" w:evenVBand="0" w:oddHBand="0" w:evenHBand="1" w:firstRowFirstColumn="0" w:firstRowLastColumn="0" w:lastRowFirstColumn="0" w:lastRowLastColumn="0"/>
            </w:pPr>
            <w:r>
              <w:t>Other transport services</w:t>
            </w:r>
          </w:p>
        </w:tc>
      </w:tr>
      <w:tr w:rsidR="00C61A7A" w14:paraId="574B8009" w14:textId="77777777" w:rsidTr="00C61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FACA567" w14:textId="77777777" w:rsidR="00C61A7A" w:rsidRDefault="00C61A7A" w:rsidP="00FA7BE0">
            <w:r>
              <w:t>SERVICES</w:t>
            </w:r>
          </w:p>
        </w:tc>
        <w:tc>
          <w:tcPr>
            <w:tcW w:w="2880" w:type="dxa"/>
          </w:tcPr>
          <w:p w14:paraId="0D523AB6" w14:textId="77777777" w:rsidR="00C61A7A" w:rsidRDefault="00C61A7A" w:rsidP="00FA7BE0">
            <w:pPr>
              <w:cnfStyle w:val="000000100000" w:firstRow="0" w:lastRow="0" w:firstColumn="0" w:lastColumn="0" w:oddVBand="0" w:evenVBand="0" w:oddHBand="1" w:evenHBand="0" w:firstRowFirstColumn="0" w:firstRowLastColumn="0" w:lastRowFirstColumn="0" w:lastRowLastColumn="0"/>
            </w:pPr>
            <w:r>
              <w:t>Services</w:t>
            </w:r>
          </w:p>
        </w:tc>
        <w:tc>
          <w:tcPr>
            <w:tcW w:w="2718" w:type="dxa"/>
          </w:tcPr>
          <w:p w14:paraId="26A306E0" w14:textId="77777777" w:rsidR="00C61A7A" w:rsidRDefault="00C61A7A" w:rsidP="00FA7BE0">
            <w:pPr>
              <w:cnfStyle w:val="000000100000" w:firstRow="0" w:lastRow="0" w:firstColumn="0" w:lastColumn="0" w:oddVBand="0" w:evenVBand="0" w:oddHBand="1" w:evenHBand="0" w:firstRowFirstColumn="0" w:firstRowLastColumn="0" w:lastRowFirstColumn="0" w:lastRowLastColumn="0"/>
            </w:pPr>
            <w:r>
              <w:t xml:space="preserve">Aggregated service </w:t>
            </w:r>
            <w:r>
              <w:lastRenderedPageBreak/>
              <w:t>sectors (14 sub-sectors)</w:t>
            </w:r>
          </w:p>
        </w:tc>
      </w:tr>
    </w:tbl>
    <w:p w14:paraId="7A921165" w14:textId="77777777" w:rsidR="00C61A7A" w:rsidRDefault="00C61A7A" w:rsidP="004844F3">
      <w:pPr>
        <w:jc w:val="both"/>
      </w:pPr>
    </w:p>
    <w:p w14:paraId="13EFFC99" w14:textId="77777777" w:rsidR="00857A03" w:rsidRPr="00857A03" w:rsidRDefault="00857A03" w:rsidP="00857A03">
      <w:pPr>
        <w:jc w:val="both"/>
        <w:rPr>
          <w:b/>
          <w:bCs/>
        </w:rPr>
      </w:pPr>
      <w:r w:rsidRPr="00857A03">
        <w:rPr>
          <w:b/>
          <w:bCs/>
        </w:rPr>
        <w:t>4.2.2  Production Technology</w:t>
      </w:r>
    </w:p>
    <w:p w14:paraId="1A5C5EBE" w14:textId="77777777" w:rsidR="00857A03" w:rsidRDefault="00857A03" w:rsidP="00857A03">
      <w:pPr>
        <w:jc w:val="both"/>
      </w:pPr>
      <w:r>
        <w:t>Production in each sector follows a nested Constant Elasticity of Substitution (CES) structure, commonly employed in energy-CGE models (Burniaux &amp; Truong, 2002). The nesting structure captures different degrees of substitutability between input categories:</w:t>
      </w:r>
    </w:p>
    <w:p w14:paraId="64AB672D" w14:textId="77777777" w:rsidR="00857A03" w:rsidRDefault="00857A03" w:rsidP="00857A03">
      <w:pPr>
        <w:jc w:val="both"/>
      </w:pPr>
      <w:r>
        <w:t>Level 1 - Gross Output: Gross output (Z) is produced using value-added (VA) and intermediate inputs (X) in fixed proportions (Leontief technology). This reflects the short-run rigidity of input-output relationships.</w:t>
      </w:r>
    </w:p>
    <w:p w14:paraId="1EA2267B" w14:textId="77777777" w:rsidR="00857A03" w:rsidRDefault="00857A03" w:rsidP="00857A03">
      <w:pPr>
        <w:jc w:val="both"/>
      </w:pPr>
      <w:r>
        <w:t>Level 2 - Value-Added: The value-added aggregate combines an Energy-Capital-Labor (EKL) composite with a substitution elasticity of 0.7. This allows for moderate substitution between energy and other primary factors.</w:t>
      </w:r>
    </w:p>
    <w:p w14:paraId="4DAAFD32" w14:textId="77777777" w:rsidR="00857A03" w:rsidRDefault="00857A03" w:rsidP="00857A03">
      <w:pPr>
        <w:jc w:val="both"/>
      </w:pPr>
      <w:r>
        <w:t>Level 3 - Capital-Labor-Energy: A Capital-Labor (KL) composite is formed with substitution elasticity of 0.4, reflecting limited short-run substitutability. This KL composite then combines with Energy (EN) in the EKL nest.</w:t>
      </w:r>
    </w:p>
    <w:p w14:paraId="43A09B80" w14:textId="6E6F369B" w:rsidR="00857A03" w:rsidRPr="00EE7434" w:rsidRDefault="00857A03" w:rsidP="00857A03">
      <w:pPr>
        <w:jc w:val="both"/>
      </w:pPr>
      <w:r>
        <w:t>Level 4</w:t>
      </w:r>
      <w:r w:rsidR="00672CCE">
        <w:t xml:space="preserve"> - </w:t>
      </w:r>
      <w:r>
        <w:t>Energy Composite: Energy demand is disaggregated into three carriers (renewables, gas, other energy) with substitution elasticity of 1.2, allowing for fuel switching in response to relative price changes and carbon pricing.</w:t>
      </w:r>
    </w:p>
    <w:p w14:paraId="2245B9D2" w14:textId="7EE7C106" w:rsidR="00672CCE" w:rsidRPr="00672CCE" w:rsidRDefault="00672CCE" w:rsidP="00672CCE">
      <w:pPr>
        <w:rPr>
          <w:b/>
          <w:bCs/>
        </w:rPr>
      </w:pPr>
      <w:r w:rsidRPr="00672CCE">
        <w:rPr>
          <w:b/>
          <w:bCs/>
        </w:rPr>
        <w:t>4.2.3 Factor Markets</w:t>
      </w:r>
    </w:p>
    <w:p w14:paraId="75496A13" w14:textId="46B3C986" w:rsidR="00672CCE" w:rsidRDefault="00672CCE" w:rsidP="00672CCE">
      <w:pPr>
        <w:jc w:val="both"/>
      </w:pPr>
      <w:r>
        <w:t>The model includes two primary factors of production:</w:t>
      </w:r>
    </w:p>
    <w:p w14:paraId="1C7751F7" w14:textId="73A4AA40" w:rsidR="00672CCE" w:rsidRDefault="00672CCE" w:rsidP="00672CCE">
      <w:pPr>
        <w:jc w:val="both"/>
      </w:pPr>
      <w:r>
        <w:t xml:space="preserve">Labor: Labor is mobile across sectors within each region but immobile across regions (reflecting realistic </w:t>
      </w:r>
      <w:r>
        <w:t>labour</w:t>
      </w:r>
      <w:r>
        <w:t xml:space="preserve"> market segmentation in Italy). The aggregate </w:t>
      </w:r>
      <w:r>
        <w:t>labour</w:t>
      </w:r>
      <w:r>
        <w:t xml:space="preserve"> supply in each region is exogenous, growing according to demographic projections. Wage rates adjust to clear regional </w:t>
      </w:r>
      <w:r>
        <w:t>labour</w:t>
      </w:r>
      <w:r>
        <w:t xml:space="preserve"> markets, with unemployment determined by the gap between </w:t>
      </w:r>
      <w:r>
        <w:t>labour</w:t>
      </w:r>
      <w:r>
        <w:t xml:space="preserve"> supply and demand.</w:t>
      </w:r>
    </w:p>
    <w:p w14:paraId="5AD84C48" w14:textId="5B21CA10" w:rsidR="00672CCE" w:rsidRDefault="00672CCE" w:rsidP="00672CCE">
      <w:pPr>
        <w:jc w:val="both"/>
      </w:pPr>
      <w:r>
        <w:t>Capital: Capital is sector-specific in the short run but mobile across sectors in the long run through investment and depreciation. The capital stock in period t+1 equals the undepreciated capital from period t plus new investment. The rental rate of capital adjusts to equalize returns across sectors net of adjustment costs.</w:t>
      </w:r>
    </w:p>
    <w:p w14:paraId="2C0215C9" w14:textId="460FFA97" w:rsidR="00672CCE" w:rsidRPr="00672CCE" w:rsidRDefault="00672CCE" w:rsidP="00672CCE">
      <w:pPr>
        <w:rPr>
          <w:b/>
          <w:bCs/>
        </w:rPr>
      </w:pPr>
      <w:r w:rsidRPr="00672CCE">
        <w:rPr>
          <w:b/>
          <w:bCs/>
        </w:rPr>
        <w:t>4.3 Income-Expenditure Block</w:t>
      </w:r>
    </w:p>
    <w:p w14:paraId="670A8DF1" w14:textId="31940B59" w:rsidR="00672CCE" w:rsidRPr="00672CCE" w:rsidRDefault="00672CCE" w:rsidP="00672CCE">
      <w:pPr>
        <w:rPr>
          <w:b/>
          <w:bCs/>
        </w:rPr>
      </w:pPr>
      <w:r w:rsidRPr="00672CCE">
        <w:rPr>
          <w:b/>
          <w:bCs/>
        </w:rPr>
        <w:t xml:space="preserve">4.3.1 Household </w:t>
      </w:r>
      <w:r w:rsidRPr="00672CCE">
        <w:rPr>
          <w:b/>
          <w:bCs/>
        </w:rPr>
        <w:t>Behaviour</w:t>
      </w:r>
    </w:p>
    <w:p w14:paraId="1AF45329" w14:textId="77777777" w:rsidR="00672CCE" w:rsidRDefault="00672CCE" w:rsidP="00672CCE">
      <w:pPr>
        <w:jc w:val="both"/>
      </w:pPr>
      <w:r>
        <w:lastRenderedPageBreak/>
        <w:t>Households are disaggregated into five macro-regions corresponding to Italy's geographical divisions. Household income consists of factor payments (wages and capital returns), transfers from government, and remittances. Household consumption follows a Linear Expenditure System (LES), which allows for non-homothetic preferences with subsistence consumption levels.</w:t>
      </w:r>
    </w:p>
    <w:p w14:paraId="4AEDC26A" w14:textId="35844CA8" w:rsidR="00864E51" w:rsidRPr="00EE7434" w:rsidRDefault="00672CCE" w:rsidP="00672CCE">
      <w:pPr>
        <w:jc w:val="both"/>
      </w:pPr>
      <w:r>
        <w:t>The LES specification ensures that as income rises, expenditure shares shift toward luxury goods and services, reflecting empirical consumption patterns (Frisch parameters calibrated to Italian data). Household savings are determined residually after consumption and direct taxes.</w:t>
      </w:r>
    </w:p>
    <w:p w14:paraId="209051AB" w14:textId="77777777" w:rsidR="0018108D" w:rsidRPr="00F70275" w:rsidRDefault="0018108D" w:rsidP="0018108D">
      <w:pPr>
        <w:jc w:val="both"/>
        <w:rPr>
          <w:b/>
          <w:bCs/>
        </w:rPr>
      </w:pPr>
      <w:r w:rsidRPr="00F70275">
        <w:rPr>
          <w:b/>
          <w:bCs/>
        </w:rPr>
        <w:t>4.3.2 Government</w:t>
      </w:r>
    </w:p>
    <w:p w14:paraId="5B99D0C8" w14:textId="77777777" w:rsidR="0018108D" w:rsidRDefault="0018108D" w:rsidP="0018108D">
      <w:pPr>
        <w:jc w:val="both"/>
      </w:pPr>
      <w:r>
        <w:t>Government revenue comes from multiple sources:</w:t>
      </w:r>
    </w:p>
    <w:p w14:paraId="36EB6352" w14:textId="34A6A5BA" w:rsidR="0018108D" w:rsidRDefault="0018108D" w:rsidP="0018108D">
      <w:pPr>
        <w:pStyle w:val="ListParagraph"/>
        <w:numPr>
          <w:ilvl w:val="0"/>
          <w:numId w:val="21"/>
        </w:numPr>
        <w:jc w:val="both"/>
      </w:pPr>
      <w:r>
        <w:t>Direct taxes on household and corporate income (rates exogenous)</w:t>
      </w:r>
    </w:p>
    <w:p w14:paraId="7F4E1262" w14:textId="1A15B287" w:rsidR="0018108D" w:rsidRDefault="0018108D" w:rsidP="0018108D">
      <w:pPr>
        <w:pStyle w:val="ListParagraph"/>
        <w:numPr>
          <w:ilvl w:val="0"/>
          <w:numId w:val="21"/>
        </w:numPr>
        <w:jc w:val="both"/>
      </w:pPr>
      <w:r>
        <w:t>Indirect taxes on production and consumption (sector-specific ad valorem rates)</w:t>
      </w:r>
    </w:p>
    <w:p w14:paraId="71243262" w14:textId="647DC882" w:rsidR="0018108D" w:rsidRDefault="0018108D" w:rsidP="0018108D">
      <w:pPr>
        <w:pStyle w:val="ListParagraph"/>
        <w:numPr>
          <w:ilvl w:val="0"/>
          <w:numId w:val="21"/>
        </w:numPr>
        <w:jc w:val="both"/>
      </w:pPr>
      <w:r>
        <w:t>Import tariffs (generally low given EU membership)</w:t>
      </w:r>
    </w:p>
    <w:p w14:paraId="14ADD250" w14:textId="14AC5FAC" w:rsidR="0018108D" w:rsidRDefault="0018108D" w:rsidP="0018108D">
      <w:pPr>
        <w:pStyle w:val="ListParagraph"/>
        <w:numPr>
          <w:ilvl w:val="0"/>
          <w:numId w:val="21"/>
        </w:numPr>
        <w:jc w:val="both"/>
      </w:pPr>
      <w:r>
        <w:t>Carbon pricing revenue from EU ETS (in policy scenarios)</w:t>
      </w:r>
    </w:p>
    <w:p w14:paraId="6B6A1283" w14:textId="77777777" w:rsidR="0018108D" w:rsidRDefault="0018108D" w:rsidP="0018108D">
      <w:pPr>
        <w:pStyle w:val="ListParagraph"/>
        <w:numPr>
          <w:ilvl w:val="0"/>
          <w:numId w:val="21"/>
        </w:numPr>
        <w:jc w:val="both"/>
      </w:pPr>
      <w:r>
        <w:t>Government expenditure includes:</w:t>
      </w:r>
    </w:p>
    <w:p w14:paraId="5F55286B" w14:textId="5FF7C7F9" w:rsidR="0018108D" w:rsidRDefault="0018108D" w:rsidP="0018108D">
      <w:pPr>
        <w:pStyle w:val="ListParagraph"/>
        <w:numPr>
          <w:ilvl w:val="0"/>
          <w:numId w:val="21"/>
        </w:numPr>
        <w:jc w:val="both"/>
      </w:pPr>
      <w:r>
        <w:t>Public consumption of goods and services (exogenous in real terms)</w:t>
      </w:r>
    </w:p>
    <w:p w14:paraId="60FC8263" w14:textId="43987569" w:rsidR="0018108D" w:rsidRDefault="0018108D" w:rsidP="0018108D">
      <w:pPr>
        <w:pStyle w:val="ListParagraph"/>
        <w:numPr>
          <w:ilvl w:val="0"/>
          <w:numId w:val="21"/>
        </w:numPr>
        <w:jc w:val="both"/>
      </w:pPr>
      <w:r>
        <w:t>Transfers to households (including carbon revenue recycling in policy scenarios)</w:t>
      </w:r>
    </w:p>
    <w:p w14:paraId="5222F0EC" w14:textId="2498E92B" w:rsidR="0018108D" w:rsidRDefault="0018108D" w:rsidP="0018108D">
      <w:pPr>
        <w:pStyle w:val="ListParagraph"/>
        <w:numPr>
          <w:ilvl w:val="0"/>
          <w:numId w:val="21"/>
        </w:numPr>
        <w:jc w:val="both"/>
      </w:pPr>
      <w:r>
        <w:t>Subsidies to sectors (including renewable energy support)</w:t>
      </w:r>
    </w:p>
    <w:p w14:paraId="50F8616C" w14:textId="21816939" w:rsidR="00864E51" w:rsidRPr="00EE7434" w:rsidRDefault="0018108D" w:rsidP="0018108D">
      <w:pPr>
        <w:jc w:val="both"/>
      </w:pPr>
      <w:r>
        <w:t>The government fiscal balance (deficit/surplus) is endogenous in the base year but follows an exogenous path in projections, with adjustments through transfers to maintain fiscal targets.</w:t>
      </w:r>
    </w:p>
    <w:p w14:paraId="13F280C0" w14:textId="4F0A6038" w:rsidR="001B12EB" w:rsidRPr="001B12EB" w:rsidRDefault="001B12EB" w:rsidP="001B12EB">
      <w:pPr>
        <w:jc w:val="both"/>
        <w:rPr>
          <w:b/>
          <w:bCs/>
        </w:rPr>
      </w:pPr>
      <w:r w:rsidRPr="001B12EB">
        <w:rPr>
          <w:b/>
          <w:bCs/>
        </w:rPr>
        <w:t>4.4  Trade Block</w:t>
      </w:r>
    </w:p>
    <w:p w14:paraId="59420DE8" w14:textId="77777777" w:rsidR="001B12EB" w:rsidRPr="001B12EB" w:rsidRDefault="001B12EB" w:rsidP="001B12EB">
      <w:pPr>
        <w:jc w:val="both"/>
        <w:rPr>
          <w:b/>
          <w:bCs/>
        </w:rPr>
      </w:pPr>
      <w:r w:rsidRPr="001B12EB">
        <w:rPr>
          <w:b/>
          <w:bCs/>
        </w:rPr>
        <w:t>4.4.1 Import Specification</w:t>
      </w:r>
    </w:p>
    <w:p w14:paraId="57F43C12" w14:textId="77777777" w:rsidR="00CD11A7" w:rsidRDefault="00CD11A7" w:rsidP="00BB2057">
      <w:pPr>
        <w:pStyle w:val="NormalWeb"/>
        <w:jc w:val="both"/>
      </w:pPr>
      <w:r>
        <w:t>The model employs the Armington (1969) assumption for imports, treating domestic and imported goods as imperfect substitutes. Composite demand for each commodity is satisfied by a CES aggregate of domestic production and imports:</w:t>
      </w:r>
    </w:p>
    <w:p w14:paraId="4FB1621E" w14:textId="4EA3B3C5" w:rsidR="00CD11A7" w:rsidRDefault="00CD11A7" w:rsidP="00CD11A7">
      <w:pPr>
        <w:jc w:val="center"/>
        <w:rPr>
          <w:rFonts w:eastAsia="Times New Roman"/>
        </w:rPr>
      </w:pPr>
      <w:r>
        <w:rPr>
          <w:rFonts w:eastAsia="Times New Roman"/>
          <w:i/>
          <w:iCs/>
        </w:rPr>
        <w:t>Q</w:t>
      </w:r>
      <w:r>
        <w:rPr>
          <w:rFonts w:eastAsia="Times New Roman"/>
        </w:rPr>
        <w:t xml:space="preserve"> = [</w:t>
      </w:r>
      <w:proofErr w:type="spellStart"/>
      <w:r>
        <w:rPr>
          <w:rFonts w:eastAsia="Times New Roman"/>
          <w:i/>
          <w:iCs/>
        </w:rPr>
        <w:t>δ</w:t>
      </w:r>
      <w:r>
        <w:rPr>
          <w:rFonts w:eastAsia="Times New Roman"/>
          <w:vertAlign w:val="subscript"/>
        </w:rPr>
        <w:t>D</w:t>
      </w:r>
      <w:proofErr w:type="spellEnd"/>
      <w:r>
        <w:rPr>
          <w:rFonts w:eastAsia="Times New Roman"/>
        </w:rPr>
        <w:t xml:space="preserve"> · </w:t>
      </w:r>
      <w:r>
        <w:rPr>
          <w:rFonts w:eastAsia="Times New Roman"/>
          <w:i/>
          <w:iCs/>
        </w:rPr>
        <w:t>D</w:t>
      </w:r>
      <w:r>
        <w:rPr>
          <w:rFonts w:eastAsia="Times New Roman"/>
          <w:vertAlign w:val="superscript"/>
        </w:rPr>
        <w:t>-ρ</w:t>
      </w:r>
      <w:r>
        <w:rPr>
          <w:rFonts w:eastAsia="Times New Roman"/>
        </w:rPr>
        <w:t xml:space="preserve"> + </w:t>
      </w:r>
      <w:proofErr w:type="spellStart"/>
      <w:r>
        <w:rPr>
          <w:rFonts w:eastAsia="Times New Roman"/>
          <w:i/>
          <w:iCs/>
        </w:rPr>
        <w:t>δ</w:t>
      </w:r>
      <w:r>
        <w:rPr>
          <w:rFonts w:eastAsia="Times New Roman"/>
          <w:vertAlign w:val="subscript"/>
        </w:rPr>
        <w:t>M</w:t>
      </w:r>
      <w:proofErr w:type="spellEnd"/>
      <w:r>
        <w:rPr>
          <w:rFonts w:eastAsia="Times New Roman"/>
        </w:rPr>
        <w:t xml:space="preserve"> · </w:t>
      </w:r>
      <w:r>
        <w:rPr>
          <w:rFonts w:eastAsia="Times New Roman"/>
          <w:i/>
          <w:iCs/>
        </w:rPr>
        <w:t>M</w:t>
      </w:r>
      <w:r>
        <w:rPr>
          <w:rFonts w:eastAsia="Times New Roman"/>
          <w:vertAlign w:val="superscript"/>
        </w:rPr>
        <w:t>-ρ</w:t>
      </w:r>
      <w:r>
        <w:rPr>
          <w:rFonts w:eastAsia="Times New Roman"/>
        </w:rPr>
        <w:t>]</w:t>
      </w:r>
      <w:r>
        <w:rPr>
          <w:rFonts w:eastAsia="Times New Roman"/>
          <w:vertAlign w:val="superscript"/>
        </w:rPr>
        <w:t>-1/ρ</w:t>
      </w:r>
    </w:p>
    <w:p w14:paraId="630E0219" w14:textId="77777777" w:rsidR="00CD11A7" w:rsidRDefault="00CD11A7" w:rsidP="00BB2057">
      <w:pPr>
        <w:jc w:val="both"/>
        <w:rPr>
          <w:rFonts w:eastAsia="Times New Roman"/>
        </w:rPr>
      </w:pPr>
      <w:r>
        <w:rPr>
          <w:rFonts w:eastAsia="Times New Roman"/>
        </w:rPr>
        <w:t xml:space="preserve">where </w:t>
      </w:r>
      <w:r>
        <w:rPr>
          <w:rFonts w:eastAsia="Times New Roman"/>
          <w:i/>
          <w:iCs/>
        </w:rPr>
        <w:t>Q</w:t>
      </w:r>
      <w:r>
        <w:rPr>
          <w:rFonts w:eastAsia="Times New Roman"/>
        </w:rPr>
        <w:t xml:space="preserve"> is composite supply, </w:t>
      </w:r>
      <w:r>
        <w:rPr>
          <w:rFonts w:eastAsia="Times New Roman"/>
          <w:i/>
          <w:iCs/>
        </w:rPr>
        <w:t>D</w:t>
      </w:r>
      <w:r>
        <w:rPr>
          <w:rFonts w:eastAsia="Times New Roman"/>
        </w:rPr>
        <w:t xml:space="preserve"> is domestic production, </w:t>
      </w:r>
      <w:r>
        <w:rPr>
          <w:rFonts w:eastAsia="Times New Roman"/>
          <w:i/>
          <w:iCs/>
        </w:rPr>
        <w:t>M</w:t>
      </w:r>
      <w:r>
        <w:rPr>
          <w:rFonts w:eastAsia="Times New Roman"/>
        </w:rPr>
        <w:t xml:space="preserve"> is imports, </w:t>
      </w:r>
      <w:r>
        <w:rPr>
          <w:rFonts w:eastAsia="Times New Roman"/>
          <w:i/>
          <w:iCs/>
        </w:rPr>
        <w:t>δ</w:t>
      </w:r>
      <w:r>
        <w:rPr>
          <w:rFonts w:eastAsia="Times New Roman"/>
        </w:rPr>
        <w:t xml:space="preserve"> are share parameters, and ρ = (σ-1)/σ where σ is the Armington elasticity of substitution. The Armington elasticity is calibrated sector-specifically, with higher values for homogeneous goods (e.g., energy commodities) and lower values for differentiated products (e.g., services). </w:t>
      </w:r>
    </w:p>
    <w:p w14:paraId="425C2C5C" w14:textId="0470BF58" w:rsidR="005113EA" w:rsidRPr="005113EA" w:rsidRDefault="005113EA" w:rsidP="00BB2057">
      <w:pPr>
        <w:jc w:val="both"/>
        <w:rPr>
          <w:rFonts w:eastAsia="Times New Roman"/>
          <w:b/>
          <w:bCs/>
        </w:rPr>
      </w:pPr>
      <w:r w:rsidRPr="005113EA">
        <w:rPr>
          <w:rFonts w:eastAsia="Times New Roman"/>
          <w:b/>
          <w:bCs/>
        </w:rPr>
        <w:lastRenderedPageBreak/>
        <w:t xml:space="preserve">4.4.2 </w:t>
      </w:r>
      <w:r w:rsidRPr="005113EA">
        <w:rPr>
          <w:rFonts w:eastAsia="Times New Roman"/>
          <w:b/>
          <w:bCs/>
        </w:rPr>
        <w:t>Export Specification</w:t>
      </w:r>
    </w:p>
    <w:p w14:paraId="4B4104D5" w14:textId="77777777" w:rsidR="00C5104A" w:rsidRDefault="00C5104A" w:rsidP="00C5104A">
      <w:pPr>
        <w:pStyle w:val="NormalWeb"/>
        <w:jc w:val="both"/>
      </w:pPr>
      <w:r>
        <w:t>Exports are modeled using a Constant Elasticity of Transformation (CET) function, allowing producers to allocate output between domestic sales and exports based on relative prices:</w:t>
      </w:r>
    </w:p>
    <w:p w14:paraId="18632CA2" w14:textId="4F502C3E" w:rsidR="00C5104A" w:rsidRDefault="00C5104A" w:rsidP="00C5104A">
      <w:pPr>
        <w:jc w:val="center"/>
        <w:rPr>
          <w:rFonts w:eastAsia="Times New Roman"/>
        </w:rPr>
      </w:pPr>
      <w:r>
        <w:rPr>
          <w:rFonts w:eastAsia="Times New Roman"/>
          <w:i/>
          <w:iCs/>
        </w:rPr>
        <w:t>Z</w:t>
      </w:r>
      <w:r>
        <w:rPr>
          <w:rFonts w:eastAsia="Times New Roman"/>
        </w:rPr>
        <w:t xml:space="preserve"> = [</w:t>
      </w:r>
      <w:proofErr w:type="spellStart"/>
      <w:r>
        <w:rPr>
          <w:rFonts w:eastAsia="Times New Roman"/>
          <w:i/>
          <w:iCs/>
        </w:rPr>
        <w:t>θ</w:t>
      </w:r>
      <w:r>
        <w:rPr>
          <w:rFonts w:eastAsia="Times New Roman"/>
          <w:vertAlign w:val="subscript"/>
        </w:rPr>
        <w:t>D</w:t>
      </w:r>
      <w:proofErr w:type="spellEnd"/>
      <w:r>
        <w:rPr>
          <w:rFonts w:eastAsia="Times New Roman"/>
        </w:rPr>
        <w:t xml:space="preserve"> · </w:t>
      </w:r>
      <w:proofErr w:type="spellStart"/>
      <w:r>
        <w:rPr>
          <w:rFonts w:eastAsia="Times New Roman"/>
          <w:i/>
          <w:iCs/>
        </w:rPr>
        <w:t>D</w:t>
      </w:r>
      <w:r>
        <w:rPr>
          <w:rFonts w:eastAsia="Times New Roman"/>
          <w:vertAlign w:val="superscript"/>
        </w:rPr>
        <w:t>ρ</w:t>
      </w:r>
      <w:proofErr w:type="spellEnd"/>
      <w:r>
        <w:rPr>
          <w:rFonts w:eastAsia="Times New Roman"/>
        </w:rPr>
        <w:t xml:space="preserve"> + </w:t>
      </w:r>
      <w:proofErr w:type="spellStart"/>
      <w:r>
        <w:rPr>
          <w:rFonts w:eastAsia="Times New Roman"/>
          <w:i/>
          <w:iCs/>
        </w:rPr>
        <w:t>θ</w:t>
      </w:r>
      <w:r>
        <w:rPr>
          <w:rFonts w:eastAsia="Times New Roman"/>
          <w:vertAlign w:val="subscript"/>
        </w:rPr>
        <w:t>E</w:t>
      </w:r>
      <w:proofErr w:type="spellEnd"/>
      <w:r>
        <w:rPr>
          <w:rFonts w:eastAsia="Times New Roman"/>
        </w:rPr>
        <w:t xml:space="preserve"> · </w:t>
      </w:r>
      <w:proofErr w:type="spellStart"/>
      <w:r>
        <w:rPr>
          <w:rFonts w:eastAsia="Times New Roman"/>
          <w:i/>
          <w:iCs/>
        </w:rPr>
        <w:t>E</w:t>
      </w:r>
      <w:r>
        <w:rPr>
          <w:rFonts w:eastAsia="Times New Roman"/>
          <w:vertAlign w:val="superscript"/>
        </w:rPr>
        <w:t>ρ</w:t>
      </w:r>
      <w:proofErr w:type="spellEnd"/>
      <w:r>
        <w:rPr>
          <w:rFonts w:eastAsia="Times New Roman"/>
        </w:rPr>
        <w:t>]</w:t>
      </w:r>
      <w:r>
        <w:rPr>
          <w:rFonts w:eastAsia="Times New Roman"/>
          <w:vertAlign w:val="superscript"/>
        </w:rPr>
        <w:t>1/ρ</w:t>
      </w:r>
    </w:p>
    <w:p w14:paraId="01D10585" w14:textId="77777777" w:rsidR="003D7A05" w:rsidRDefault="00C5104A" w:rsidP="003D7A05">
      <w:pPr>
        <w:jc w:val="both"/>
      </w:pPr>
      <w:r>
        <w:rPr>
          <w:rFonts w:eastAsia="Times New Roman"/>
        </w:rPr>
        <w:t xml:space="preserve">where </w:t>
      </w:r>
      <w:r>
        <w:rPr>
          <w:rFonts w:eastAsia="Times New Roman"/>
          <w:i/>
          <w:iCs/>
        </w:rPr>
        <w:t>Z</w:t>
      </w:r>
      <w:r>
        <w:rPr>
          <w:rFonts w:eastAsia="Times New Roman"/>
        </w:rPr>
        <w:t xml:space="preserve"> is total production, </w:t>
      </w:r>
      <w:r>
        <w:rPr>
          <w:rFonts w:eastAsia="Times New Roman"/>
          <w:i/>
          <w:iCs/>
        </w:rPr>
        <w:t>D</w:t>
      </w:r>
      <w:r>
        <w:rPr>
          <w:rFonts w:eastAsia="Times New Roman"/>
        </w:rPr>
        <w:t xml:space="preserve"> is domestic sales, </w:t>
      </w:r>
      <w:r>
        <w:rPr>
          <w:rFonts w:eastAsia="Times New Roman"/>
          <w:i/>
          <w:iCs/>
        </w:rPr>
        <w:t>E</w:t>
      </w:r>
      <w:r>
        <w:rPr>
          <w:rFonts w:eastAsia="Times New Roman"/>
        </w:rPr>
        <w:t xml:space="preserve"> is exports, </w:t>
      </w:r>
      <w:r>
        <w:rPr>
          <w:rFonts w:eastAsia="Times New Roman"/>
          <w:i/>
          <w:iCs/>
        </w:rPr>
        <w:t>θ</w:t>
      </w:r>
      <w:r>
        <w:rPr>
          <w:rFonts w:eastAsia="Times New Roman"/>
        </w:rPr>
        <w:t xml:space="preserve"> are share parameters, and ρ is related to the transformation elasticity. This specification reflects the realistic constraint that firms face adjustment costs in shifting between domestic and export markets. </w:t>
      </w:r>
      <w:r w:rsidR="003D7A05">
        <w:t>World prices for imports and exports are exogenous, reflecting Italy's small country assumption in global markets. The exchange rate is the numeraire, fixed at unity, with domestic price flexibility ensuring equilibrium.</w:t>
      </w:r>
    </w:p>
    <w:p w14:paraId="0C3C19A9" w14:textId="77777777" w:rsidR="00BC4C2A" w:rsidRPr="00BC4C2A" w:rsidRDefault="00BC4C2A" w:rsidP="00BC4C2A">
      <w:pPr>
        <w:jc w:val="both"/>
        <w:rPr>
          <w:b/>
          <w:bCs/>
        </w:rPr>
      </w:pPr>
      <w:r w:rsidRPr="00BC4C2A">
        <w:rPr>
          <w:b/>
          <w:bCs/>
        </w:rPr>
        <w:t>4.5 Energy-Environment Block</w:t>
      </w:r>
    </w:p>
    <w:p w14:paraId="78B12D8D" w14:textId="77777777" w:rsidR="00BC4C2A" w:rsidRPr="00BC4C2A" w:rsidRDefault="00BC4C2A" w:rsidP="00BC4C2A">
      <w:pPr>
        <w:jc w:val="both"/>
        <w:rPr>
          <w:b/>
          <w:bCs/>
        </w:rPr>
      </w:pPr>
      <w:r w:rsidRPr="00BC4C2A">
        <w:rPr>
          <w:b/>
          <w:bCs/>
        </w:rPr>
        <w:t>4.5.1 Energy Demand and Supply</w:t>
      </w:r>
    </w:p>
    <w:p w14:paraId="402D6D2A" w14:textId="77777777" w:rsidR="00BC4C2A" w:rsidRDefault="00BC4C2A" w:rsidP="00BC4C2A">
      <w:pPr>
        <w:jc w:val="both"/>
      </w:pPr>
      <w:r>
        <w:t>Energy demand is explicitly tracked for three energy carriers in all sectors and household regions:</w:t>
      </w:r>
    </w:p>
    <w:p w14:paraId="29C1B050" w14:textId="71CC5A9D" w:rsidR="00BC4C2A" w:rsidRDefault="00BC4C2A" w:rsidP="00BC4C2A">
      <w:pPr>
        <w:pStyle w:val="ListParagraph"/>
        <w:numPr>
          <w:ilvl w:val="0"/>
          <w:numId w:val="23"/>
        </w:numPr>
        <w:jc w:val="both"/>
      </w:pPr>
      <w:r>
        <w:t>Renewables (RENEW): 100% clean electricity from solar, wind, hydro, geothermal, and biomass. Represents 35% of electricity demand in 2021, growing to 70-90% by 2040 depending on scenario.</w:t>
      </w:r>
    </w:p>
    <w:p w14:paraId="0695AE8E" w14:textId="4C4AB3B7" w:rsidR="00BC4C2A" w:rsidRDefault="00BC4C2A" w:rsidP="00BC4C2A">
      <w:pPr>
        <w:pStyle w:val="ListParagraph"/>
        <w:numPr>
          <w:ilvl w:val="0"/>
          <w:numId w:val="23"/>
        </w:numPr>
        <w:jc w:val="both"/>
      </w:pPr>
      <w:r>
        <w:t>Gas (GAS): Natural gas for heating, industrial processes, and commercial applications (excluding power generation). Emission factor: 202 kg CO₂/MWh.</w:t>
      </w:r>
    </w:p>
    <w:p w14:paraId="3756279F" w14:textId="0BAA229F" w:rsidR="00BC4C2A" w:rsidRDefault="00BC4C2A" w:rsidP="00BC4C2A">
      <w:pPr>
        <w:pStyle w:val="ListParagraph"/>
        <w:numPr>
          <w:ilvl w:val="0"/>
          <w:numId w:val="23"/>
        </w:numPr>
        <w:jc w:val="both"/>
      </w:pPr>
      <w:r>
        <w:t>Other Energy (OENERGY): Oil products, coal, and direct renewable energy (biomass, solar thermal). Weighted average emission factor: 350 kg CO₂/MWh.</w:t>
      </w:r>
    </w:p>
    <w:p w14:paraId="253D093F" w14:textId="7F3AD4C7" w:rsidR="000C24D5" w:rsidRDefault="00BC4C2A" w:rsidP="00BC4C2A">
      <w:pPr>
        <w:jc w:val="both"/>
      </w:pPr>
      <w:r>
        <w:t>Energy efficiency improvements are represented through Autonomous Energy Efficiency Improvement (AEEI), calibrated at 1.8% annually based on historical trends and IEA projections. AEEI reduces energy intensity independently of price-induced substitution.</w:t>
      </w:r>
    </w:p>
    <w:p w14:paraId="2FB400BE" w14:textId="02F9247E" w:rsidR="00C5104A" w:rsidRPr="00C05F60" w:rsidRDefault="00C05F60" w:rsidP="00C5104A">
      <w:pPr>
        <w:jc w:val="both"/>
        <w:rPr>
          <w:rFonts w:eastAsia="Times New Roman"/>
          <w:b/>
          <w:bCs/>
        </w:rPr>
      </w:pPr>
      <w:r w:rsidRPr="00C05F60">
        <w:rPr>
          <w:rFonts w:eastAsia="Times New Roman"/>
          <w:b/>
          <w:bCs/>
        </w:rPr>
        <w:t xml:space="preserve">4.5.2 </w:t>
      </w:r>
      <w:r w:rsidRPr="00C05F60">
        <w:rPr>
          <w:rFonts w:eastAsia="Times New Roman"/>
          <w:b/>
          <w:bCs/>
        </w:rPr>
        <w:t>CO₂ Emissions Accounting</w:t>
      </w:r>
    </w:p>
    <w:p w14:paraId="2C06FD07" w14:textId="77777777" w:rsidR="00ED0FFC" w:rsidRDefault="00ED0FFC" w:rsidP="009859FA">
      <w:pPr>
        <w:pStyle w:val="NormalWeb"/>
        <w:jc w:val="both"/>
      </w:pPr>
      <w:r>
        <w:t>CO₂ emissions from fuel combustion are calculated by applying sector- and carrier-specific emission factors to energy consumption:</w:t>
      </w:r>
    </w:p>
    <w:p w14:paraId="2325BBAE" w14:textId="11CC200C" w:rsidR="00ED0FFC" w:rsidRDefault="00ED0FFC" w:rsidP="00ED0FFC">
      <w:pPr>
        <w:jc w:val="center"/>
        <w:rPr>
          <w:rFonts w:eastAsia="Times New Roman"/>
        </w:rPr>
      </w:pPr>
      <w:proofErr w:type="spellStart"/>
      <w:r>
        <w:rPr>
          <w:rFonts w:eastAsia="Times New Roman"/>
          <w:i/>
          <w:iCs/>
        </w:rPr>
        <w:t>EM</w:t>
      </w:r>
      <w:r>
        <w:rPr>
          <w:rFonts w:eastAsia="Times New Roman"/>
          <w:vertAlign w:val="subscript"/>
        </w:rPr>
        <w:t>j</w:t>
      </w:r>
      <w:proofErr w:type="spellEnd"/>
      <w:r>
        <w:rPr>
          <w:rFonts w:eastAsia="Times New Roman"/>
        </w:rPr>
        <w:t xml:space="preserve"> = </w:t>
      </w:r>
      <w:proofErr w:type="spellStart"/>
      <w:r>
        <w:rPr>
          <w:rFonts w:eastAsia="Times New Roman"/>
        </w:rPr>
        <w:t>Σ</w:t>
      </w:r>
      <w:r>
        <w:rPr>
          <w:rFonts w:eastAsia="Times New Roman"/>
          <w:vertAlign w:val="subscript"/>
        </w:rPr>
        <w:t>e</w:t>
      </w:r>
      <w:proofErr w:type="spellEnd"/>
      <w:r>
        <w:rPr>
          <w:rFonts w:eastAsia="Times New Roman"/>
        </w:rPr>
        <w:t xml:space="preserve"> (</w:t>
      </w:r>
      <w:proofErr w:type="spellStart"/>
      <w:r>
        <w:rPr>
          <w:rFonts w:eastAsia="Times New Roman"/>
          <w:i/>
          <w:iCs/>
        </w:rPr>
        <w:t>E</w:t>
      </w:r>
      <w:r>
        <w:rPr>
          <w:rFonts w:eastAsia="Times New Roman"/>
          <w:vertAlign w:val="subscript"/>
        </w:rPr>
        <w:t>ej</w:t>
      </w:r>
      <w:proofErr w:type="spellEnd"/>
      <w:r>
        <w:rPr>
          <w:rFonts w:eastAsia="Times New Roman"/>
        </w:rPr>
        <w:t xml:space="preserve"> × </w:t>
      </w:r>
      <w:proofErr w:type="spellStart"/>
      <w:r>
        <w:rPr>
          <w:rFonts w:eastAsia="Times New Roman"/>
          <w:i/>
          <w:iCs/>
        </w:rPr>
        <w:t>EF</w:t>
      </w:r>
      <w:r>
        <w:rPr>
          <w:rFonts w:eastAsia="Times New Roman"/>
          <w:vertAlign w:val="subscript"/>
        </w:rPr>
        <w:t>e</w:t>
      </w:r>
      <w:proofErr w:type="spellEnd"/>
      <w:r>
        <w:rPr>
          <w:rFonts w:eastAsia="Times New Roman"/>
        </w:rPr>
        <w:t>)</w:t>
      </w:r>
    </w:p>
    <w:p w14:paraId="3DDCF6B3" w14:textId="77777777" w:rsidR="009859FA" w:rsidRDefault="00ED0FFC" w:rsidP="009859FA">
      <w:pPr>
        <w:jc w:val="both"/>
      </w:pPr>
      <w:r>
        <w:rPr>
          <w:rFonts w:eastAsia="Times New Roman"/>
        </w:rPr>
        <w:t xml:space="preserve">where </w:t>
      </w:r>
      <w:proofErr w:type="spellStart"/>
      <w:r>
        <w:rPr>
          <w:rFonts w:eastAsia="Times New Roman"/>
          <w:i/>
          <w:iCs/>
        </w:rPr>
        <w:t>EM</w:t>
      </w:r>
      <w:r>
        <w:rPr>
          <w:rFonts w:eastAsia="Times New Roman"/>
          <w:vertAlign w:val="subscript"/>
        </w:rPr>
        <w:t>j</w:t>
      </w:r>
      <w:proofErr w:type="spellEnd"/>
      <w:r>
        <w:rPr>
          <w:rFonts w:eastAsia="Times New Roman"/>
        </w:rPr>
        <w:t xml:space="preserve"> is emissions from sector </w:t>
      </w:r>
      <w:r>
        <w:rPr>
          <w:rFonts w:eastAsia="Times New Roman"/>
          <w:i/>
          <w:iCs/>
        </w:rPr>
        <w:t>j</w:t>
      </w:r>
      <w:r>
        <w:rPr>
          <w:rFonts w:eastAsia="Times New Roman"/>
        </w:rPr>
        <w:t xml:space="preserve">, </w:t>
      </w:r>
      <w:proofErr w:type="spellStart"/>
      <w:r>
        <w:rPr>
          <w:rFonts w:eastAsia="Times New Roman"/>
          <w:i/>
          <w:iCs/>
        </w:rPr>
        <w:t>E</w:t>
      </w:r>
      <w:r>
        <w:rPr>
          <w:rFonts w:eastAsia="Times New Roman"/>
          <w:vertAlign w:val="subscript"/>
        </w:rPr>
        <w:t>ej</w:t>
      </w:r>
      <w:proofErr w:type="spellEnd"/>
      <w:r>
        <w:rPr>
          <w:rFonts w:eastAsia="Times New Roman"/>
        </w:rPr>
        <w:t xml:space="preserve"> is energy consumption of carrier </w:t>
      </w:r>
      <w:r>
        <w:rPr>
          <w:rFonts w:eastAsia="Times New Roman"/>
          <w:i/>
          <w:iCs/>
        </w:rPr>
        <w:t>e</w:t>
      </w:r>
      <w:r>
        <w:rPr>
          <w:rFonts w:eastAsia="Times New Roman"/>
        </w:rPr>
        <w:t xml:space="preserve"> by sector </w:t>
      </w:r>
      <w:r>
        <w:rPr>
          <w:rFonts w:eastAsia="Times New Roman"/>
          <w:i/>
          <w:iCs/>
        </w:rPr>
        <w:t>j</w:t>
      </w:r>
      <w:r>
        <w:rPr>
          <w:rFonts w:eastAsia="Times New Roman"/>
        </w:rPr>
        <w:t xml:space="preserve">, and </w:t>
      </w:r>
      <w:proofErr w:type="spellStart"/>
      <w:r>
        <w:rPr>
          <w:rFonts w:eastAsia="Times New Roman"/>
          <w:i/>
          <w:iCs/>
        </w:rPr>
        <w:t>EF</w:t>
      </w:r>
      <w:r>
        <w:rPr>
          <w:rFonts w:eastAsia="Times New Roman"/>
          <w:vertAlign w:val="subscript"/>
        </w:rPr>
        <w:t>e</w:t>
      </w:r>
      <w:proofErr w:type="spellEnd"/>
      <w:r>
        <w:rPr>
          <w:rFonts w:eastAsia="Times New Roman"/>
        </w:rPr>
        <w:t xml:space="preserve"> is the emission factor for carrier </w:t>
      </w:r>
      <w:r>
        <w:rPr>
          <w:rFonts w:eastAsia="Times New Roman"/>
          <w:i/>
          <w:iCs/>
        </w:rPr>
        <w:t>e</w:t>
      </w:r>
      <w:r>
        <w:rPr>
          <w:rFonts w:eastAsia="Times New Roman"/>
        </w:rPr>
        <w:t xml:space="preserve">. </w:t>
      </w:r>
      <w:r w:rsidR="009859FA">
        <w:t xml:space="preserve">Transport sector emissions are calculated separately for each transport mode (road, rail, air, water, other) using mode-specific </w:t>
      </w:r>
      <w:r w:rsidR="009859FA">
        <w:lastRenderedPageBreak/>
        <w:t>emission factors calibrated to ISPRA (2022) data. Total 2021 transport emissions: 115.2 MtCO₂.</w:t>
      </w:r>
    </w:p>
    <w:p w14:paraId="59ADD88F" w14:textId="77777777" w:rsidR="0084497C" w:rsidRPr="0084497C" w:rsidRDefault="0084497C" w:rsidP="001742B4">
      <w:pPr>
        <w:jc w:val="both"/>
        <w:rPr>
          <w:rFonts w:eastAsia="Times New Roman"/>
          <w:b/>
          <w:bCs/>
        </w:rPr>
      </w:pPr>
      <w:r w:rsidRPr="0084497C">
        <w:rPr>
          <w:rFonts w:eastAsia="Times New Roman"/>
          <w:b/>
          <w:bCs/>
        </w:rPr>
        <w:t>4.5.3 Climate Policy Instruments</w:t>
      </w:r>
    </w:p>
    <w:p w14:paraId="7D59C57B" w14:textId="77777777" w:rsidR="0084497C" w:rsidRPr="0084497C" w:rsidRDefault="0084497C" w:rsidP="001742B4">
      <w:pPr>
        <w:jc w:val="both"/>
        <w:rPr>
          <w:rFonts w:eastAsia="Times New Roman"/>
        </w:rPr>
      </w:pPr>
      <w:r w:rsidRPr="0084497C">
        <w:rPr>
          <w:rFonts w:eastAsia="Times New Roman"/>
        </w:rPr>
        <w:t>The model incorporates detailed representation of the EU Emissions Trading System:</w:t>
      </w:r>
    </w:p>
    <w:p w14:paraId="77F9F039" w14:textId="77777777" w:rsidR="0084497C" w:rsidRPr="0084497C" w:rsidRDefault="0084497C" w:rsidP="001742B4">
      <w:pPr>
        <w:jc w:val="both"/>
        <w:rPr>
          <w:rFonts w:eastAsia="Times New Roman"/>
        </w:rPr>
      </w:pPr>
      <w:r w:rsidRPr="0084497C">
        <w:rPr>
          <w:rFonts w:eastAsia="Times New Roman"/>
          <w:b/>
          <w:bCs/>
        </w:rPr>
        <w:t>ETS1 (EU ETS Phase 4):</w:t>
      </w:r>
      <w:r w:rsidRPr="0084497C">
        <w:rPr>
          <w:rFonts w:eastAsia="Times New Roman"/>
        </w:rPr>
        <w:t xml:space="preserve"> Covers industry, gas, other energy, aviation, and maritime transport sectors. Carbon price starts at €53.90/tCO₂ in 2021 (actual EU ETS price), growing at 4% annually with Market Stability Reserve (MSR) managing supply. No formal price ceiling but practical upper bound of €300/tCO₂. Free allocation to industry starts at 80%, declining 2% annually.</w:t>
      </w:r>
    </w:p>
    <w:p w14:paraId="4A81B451" w14:textId="77777777" w:rsidR="0084497C" w:rsidRPr="0084497C" w:rsidRDefault="0084497C" w:rsidP="001742B4">
      <w:pPr>
        <w:jc w:val="both"/>
        <w:rPr>
          <w:rFonts w:eastAsia="Times New Roman"/>
        </w:rPr>
      </w:pPr>
      <w:r w:rsidRPr="0084497C">
        <w:rPr>
          <w:rFonts w:eastAsia="Times New Roman"/>
          <w:b/>
          <w:bCs/>
        </w:rPr>
        <w:t>ETS2 (Buildings &amp; Transport Extension):</w:t>
      </w:r>
      <w:r w:rsidRPr="0084497C">
        <w:rPr>
          <w:rFonts w:eastAsia="Times New Roman"/>
        </w:rPr>
        <w:t xml:space="preserve"> Extends coverage to road transport, other transport, and services (representing buildings) starting in 2027. Carbon price €45.0/tCO₂ with Price Stability Mechanism (PSM) maintaining ceiling at €45/tCO₂ and floor at €22/tCO₂. Free allocation starts at 60%, declining 3% annually.</w:t>
      </w:r>
    </w:p>
    <w:p w14:paraId="6CEF59C5" w14:textId="77777777" w:rsidR="0084497C" w:rsidRPr="0084497C" w:rsidRDefault="0084497C" w:rsidP="001742B4">
      <w:pPr>
        <w:jc w:val="both"/>
        <w:rPr>
          <w:rFonts w:eastAsia="Times New Roman"/>
        </w:rPr>
      </w:pPr>
      <w:r w:rsidRPr="0084497C">
        <w:rPr>
          <w:rFonts w:eastAsia="Times New Roman"/>
        </w:rPr>
        <w:t>Carbon costs are incorporated into sectoral production costs, affecting competitiveness and output. Carbon revenues are recycled through:</w:t>
      </w:r>
    </w:p>
    <w:p w14:paraId="3553CC4F" w14:textId="0A6A0B85" w:rsidR="0084497C" w:rsidRPr="001742B4" w:rsidRDefault="0084497C" w:rsidP="001742B4">
      <w:pPr>
        <w:pStyle w:val="ListParagraph"/>
        <w:numPr>
          <w:ilvl w:val="0"/>
          <w:numId w:val="26"/>
        </w:numPr>
        <w:jc w:val="both"/>
        <w:rPr>
          <w:rFonts w:eastAsia="Times New Roman"/>
        </w:rPr>
      </w:pPr>
      <w:r w:rsidRPr="001742B4">
        <w:rPr>
          <w:rFonts w:eastAsia="Times New Roman"/>
        </w:rPr>
        <w:t>Lump-sum transfers to households (proportional to regional population)</w:t>
      </w:r>
      <w:r w:rsidR="001742B4">
        <w:rPr>
          <w:rFonts w:eastAsia="Times New Roman"/>
        </w:rPr>
        <w:t>.</w:t>
      </w:r>
    </w:p>
    <w:p w14:paraId="6AD1C259" w14:textId="54819626" w:rsidR="0084497C" w:rsidRPr="001742B4" w:rsidRDefault="0084497C" w:rsidP="001742B4">
      <w:pPr>
        <w:pStyle w:val="ListParagraph"/>
        <w:numPr>
          <w:ilvl w:val="0"/>
          <w:numId w:val="26"/>
        </w:numPr>
        <w:jc w:val="both"/>
        <w:rPr>
          <w:rFonts w:eastAsia="Times New Roman"/>
        </w:rPr>
      </w:pPr>
      <w:r w:rsidRPr="001742B4">
        <w:rPr>
          <w:rFonts w:eastAsia="Times New Roman"/>
        </w:rPr>
        <w:t>Subsidies for renewable energy investment (higher rates in South and Islands)</w:t>
      </w:r>
      <w:r w:rsidR="001742B4">
        <w:rPr>
          <w:rFonts w:eastAsia="Times New Roman"/>
        </w:rPr>
        <w:t>.</w:t>
      </w:r>
    </w:p>
    <w:p w14:paraId="0C19AD65" w14:textId="49AB87B2" w:rsidR="0084497C" w:rsidRPr="001742B4" w:rsidRDefault="0084497C" w:rsidP="001742B4">
      <w:pPr>
        <w:pStyle w:val="ListParagraph"/>
        <w:numPr>
          <w:ilvl w:val="0"/>
          <w:numId w:val="26"/>
        </w:numPr>
        <w:jc w:val="both"/>
        <w:rPr>
          <w:rFonts w:eastAsia="Times New Roman"/>
        </w:rPr>
      </w:pPr>
      <w:r w:rsidRPr="001742B4">
        <w:rPr>
          <w:rFonts w:eastAsia="Times New Roman"/>
        </w:rPr>
        <w:t>Support for energy efficiency improvements</w:t>
      </w:r>
      <w:r w:rsidR="001742B4">
        <w:rPr>
          <w:rFonts w:eastAsia="Times New Roman"/>
        </w:rPr>
        <w:t>.</w:t>
      </w:r>
    </w:p>
    <w:p w14:paraId="799DB648" w14:textId="65716138" w:rsidR="00ED0FFC" w:rsidRPr="001742B4" w:rsidRDefault="0084497C" w:rsidP="001742B4">
      <w:pPr>
        <w:pStyle w:val="ListParagraph"/>
        <w:numPr>
          <w:ilvl w:val="0"/>
          <w:numId w:val="26"/>
        </w:numPr>
        <w:jc w:val="both"/>
        <w:rPr>
          <w:rFonts w:eastAsia="Times New Roman"/>
        </w:rPr>
      </w:pPr>
      <w:r w:rsidRPr="001742B4">
        <w:rPr>
          <w:rFonts w:eastAsia="Times New Roman"/>
        </w:rPr>
        <w:t>Labor tax reductions (exploring double dividend potential)</w:t>
      </w:r>
      <w:r w:rsidR="001742B4">
        <w:rPr>
          <w:rFonts w:eastAsia="Times New Roman"/>
        </w:rPr>
        <w:t>.</w:t>
      </w:r>
    </w:p>
    <w:p w14:paraId="72073EEA" w14:textId="77777777" w:rsidR="00CB72C0" w:rsidRPr="00E539C7" w:rsidRDefault="00CB72C0" w:rsidP="00CB72C0">
      <w:pPr>
        <w:jc w:val="both"/>
        <w:rPr>
          <w:rFonts w:eastAsia="Times New Roman"/>
          <w:b/>
          <w:bCs/>
        </w:rPr>
      </w:pPr>
      <w:r w:rsidRPr="00E539C7">
        <w:rPr>
          <w:rFonts w:eastAsia="Times New Roman"/>
          <w:b/>
          <w:bCs/>
        </w:rPr>
        <w:t>4.6 Market Clearing and Closure Rules</w:t>
      </w:r>
    </w:p>
    <w:p w14:paraId="1B0588FA" w14:textId="77777777" w:rsidR="00CB72C0" w:rsidRPr="00E539C7" w:rsidRDefault="00CB72C0" w:rsidP="00CB72C0">
      <w:pPr>
        <w:jc w:val="both"/>
        <w:rPr>
          <w:rFonts w:eastAsia="Times New Roman"/>
          <w:b/>
          <w:bCs/>
        </w:rPr>
      </w:pPr>
      <w:r w:rsidRPr="00E539C7">
        <w:rPr>
          <w:rFonts w:eastAsia="Times New Roman"/>
          <w:b/>
          <w:bCs/>
        </w:rPr>
        <w:t>4.6.1  Market Clearing Conditions</w:t>
      </w:r>
    </w:p>
    <w:p w14:paraId="3E649CF0" w14:textId="77777777" w:rsidR="00CB72C0" w:rsidRPr="00CB72C0" w:rsidRDefault="00CB72C0" w:rsidP="00CB72C0">
      <w:pPr>
        <w:jc w:val="both"/>
        <w:rPr>
          <w:rFonts w:eastAsia="Times New Roman"/>
        </w:rPr>
      </w:pPr>
      <w:r w:rsidRPr="00CB72C0">
        <w:rPr>
          <w:rFonts w:eastAsia="Times New Roman"/>
        </w:rPr>
        <w:t>Equilibrium requires that supply equals demand in all markets:</w:t>
      </w:r>
    </w:p>
    <w:p w14:paraId="34E56CEB" w14:textId="77777777" w:rsidR="00CB72C0" w:rsidRPr="00CB72C0" w:rsidRDefault="00CB72C0" w:rsidP="00CB72C0">
      <w:pPr>
        <w:jc w:val="both"/>
        <w:rPr>
          <w:rFonts w:eastAsia="Times New Roman"/>
        </w:rPr>
      </w:pPr>
      <w:r w:rsidRPr="00E539C7">
        <w:rPr>
          <w:rFonts w:eastAsia="Times New Roman"/>
          <w:b/>
          <w:bCs/>
        </w:rPr>
        <w:t>Commodity Markets:</w:t>
      </w:r>
      <w:r w:rsidRPr="00CB72C0">
        <w:rPr>
          <w:rFonts w:eastAsia="Times New Roman"/>
        </w:rPr>
        <w:t xml:space="preserve"> Domestic production plus imports equals intermediate demand plus final demand (household, government, investment) plus exports.</w:t>
      </w:r>
    </w:p>
    <w:p w14:paraId="60904305" w14:textId="77777777" w:rsidR="00CB72C0" w:rsidRPr="00CB72C0" w:rsidRDefault="00CB72C0" w:rsidP="00CB72C0">
      <w:pPr>
        <w:jc w:val="both"/>
        <w:rPr>
          <w:rFonts w:eastAsia="Times New Roman"/>
        </w:rPr>
      </w:pPr>
      <w:r w:rsidRPr="00E539C7">
        <w:rPr>
          <w:rFonts w:eastAsia="Times New Roman"/>
          <w:b/>
          <w:bCs/>
        </w:rPr>
        <w:t>Factor Markets:</w:t>
      </w:r>
      <w:r w:rsidRPr="00CB72C0">
        <w:rPr>
          <w:rFonts w:eastAsia="Times New Roman"/>
        </w:rPr>
        <w:t xml:space="preserve"> Total factor demand across all sectors equals factor supply. Labor supply is exogenous with endogenous wage adjustment. Capital supply is sector-specific in short run, mobile through investment in long run.</w:t>
      </w:r>
    </w:p>
    <w:p w14:paraId="5A24943C" w14:textId="08413D6C" w:rsidR="00864E51" w:rsidRDefault="00CB72C0" w:rsidP="00EC6612">
      <w:pPr>
        <w:jc w:val="both"/>
        <w:rPr>
          <w:rFonts w:eastAsia="Times New Roman"/>
        </w:rPr>
      </w:pPr>
      <w:r w:rsidRPr="00E539C7">
        <w:rPr>
          <w:rFonts w:eastAsia="Times New Roman"/>
          <w:b/>
          <w:bCs/>
        </w:rPr>
        <w:t>Current Account:</w:t>
      </w:r>
      <w:r w:rsidRPr="00CB72C0">
        <w:rPr>
          <w:rFonts w:eastAsia="Times New Roman"/>
        </w:rPr>
        <w:t xml:space="preserve"> The value of exports plus foreign transfers equals the value of imports plus net foreign savings. The current account balance follows an exogenous path in projections.</w:t>
      </w:r>
    </w:p>
    <w:p w14:paraId="65DE9D83" w14:textId="77777777" w:rsidR="00EC6612" w:rsidRDefault="00EC6612" w:rsidP="00EC6612">
      <w:pPr>
        <w:jc w:val="both"/>
        <w:rPr>
          <w:rFonts w:eastAsia="Times New Roman"/>
        </w:rPr>
      </w:pPr>
    </w:p>
    <w:p w14:paraId="442B5B9C" w14:textId="77777777" w:rsidR="00EC6612" w:rsidRPr="00EC6612" w:rsidRDefault="00EC6612" w:rsidP="00EC6612">
      <w:pPr>
        <w:jc w:val="both"/>
        <w:rPr>
          <w:rFonts w:eastAsia="Times New Roman"/>
        </w:rPr>
      </w:pPr>
    </w:p>
    <w:p w14:paraId="7C74699C" w14:textId="77777777" w:rsidR="00EC6612" w:rsidRPr="00EC6612" w:rsidRDefault="00EC6612" w:rsidP="000A3B06">
      <w:pPr>
        <w:jc w:val="both"/>
        <w:rPr>
          <w:b/>
          <w:bCs/>
        </w:rPr>
      </w:pPr>
      <w:r w:rsidRPr="00EC6612">
        <w:rPr>
          <w:b/>
          <w:bCs/>
        </w:rPr>
        <w:lastRenderedPageBreak/>
        <w:t>4.6.2 Closure Rules</w:t>
      </w:r>
    </w:p>
    <w:p w14:paraId="190471A5" w14:textId="77777777" w:rsidR="00EC6612" w:rsidRDefault="00EC6612" w:rsidP="000A3B06">
      <w:pPr>
        <w:jc w:val="both"/>
      </w:pPr>
      <w:r>
        <w:t>CGE models require closure rules to determine which variables are exogenous and which are endogenous. The CGE-I5 model employs different closures depending on the simulation period:</w:t>
      </w:r>
    </w:p>
    <w:p w14:paraId="5A88970A" w14:textId="77777777" w:rsidR="00EC6612" w:rsidRDefault="00EC6612" w:rsidP="000A3B06">
      <w:pPr>
        <w:jc w:val="both"/>
      </w:pPr>
      <w:r w:rsidRPr="000A3B06">
        <w:rPr>
          <w:b/>
          <w:bCs/>
        </w:rPr>
        <w:t>Base Year (2021)</w:t>
      </w:r>
      <w:r>
        <w:t xml:space="preserve"> - Balanced Closure: Investment is endogenous, savings-driven. Government balance is fixed to historical value. Exchange rate is numeraire. This closure ensures calibration to observed data.</w:t>
      </w:r>
    </w:p>
    <w:p w14:paraId="658CC290" w14:textId="45173B24" w:rsidR="00EC6612" w:rsidRPr="00EE7434" w:rsidRDefault="00EC6612" w:rsidP="000A3B06">
      <w:pPr>
        <w:jc w:val="both"/>
      </w:pPr>
      <w:r w:rsidRPr="000A3B06">
        <w:rPr>
          <w:b/>
          <w:bCs/>
        </w:rPr>
        <w:t>Projection Years</w:t>
      </w:r>
      <w:r>
        <w:t xml:space="preserve"> - Recursive Dynamic Closure: Investment is determined by savings and capital inflows. Government transfers adjust to maintain fiscal balance. Labor supply grows exogenously. Capital stock updates through investment and depreciation. This closure reflects forward-looking projections with myopic expectations.</w:t>
      </w:r>
    </w:p>
    <w:p w14:paraId="27F60F8D" w14:textId="77777777" w:rsidR="00754143" w:rsidRPr="00754143" w:rsidRDefault="00754143" w:rsidP="00754143">
      <w:pPr>
        <w:rPr>
          <w:b/>
          <w:bCs/>
        </w:rPr>
      </w:pPr>
      <w:r w:rsidRPr="00754143">
        <w:rPr>
          <w:b/>
          <w:bCs/>
        </w:rPr>
        <w:t>4.7 Recursive Dynamic Framework</w:t>
      </w:r>
    </w:p>
    <w:p w14:paraId="25BF593C" w14:textId="77777777" w:rsidR="00754143" w:rsidRPr="00754143" w:rsidRDefault="00754143" w:rsidP="00754143">
      <w:pPr>
        <w:rPr>
          <w:b/>
          <w:bCs/>
        </w:rPr>
      </w:pPr>
      <w:r w:rsidRPr="00754143">
        <w:rPr>
          <w:b/>
          <w:bCs/>
        </w:rPr>
        <w:t>4.7.1 Capital Accumulation</w:t>
      </w:r>
    </w:p>
    <w:p w14:paraId="0F31E5A6" w14:textId="38CF1170" w:rsidR="002E4EC9" w:rsidRPr="00EE7434" w:rsidRDefault="00754143" w:rsidP="00754143">
      <w:r>
        <w:t>Capital stock in each sector evolves according to:</w:t>
      </w:r>
    </w:p>
    <w:p w14:paraId="3D9FD03C" w14:textId="2DE71401" w:rsidR="00BA469C" w:rsidRDefault="00BA469C" w:rsidP="00BA469C">
      <w:pPr>
        <w:jc w:val="center"/>
        <w:rPr>
          <w:rFonts w:eastAsia="Times New Roman"/>
        </w:rPr>
      </w:pPr>
      <w:r>
        <w:rPr>
          <w:rFonts w:eastAsia="Times New Roman"/>
          <w:i/>
          <w:iCs/>
        </w:rPr>
        <w:t>K</w:t>
      </w:r>
      <w:r>
        <w:rPr>
          <w:rFonts w:eastAsia="Times New Roman"/>
          <w:vertAlign w:val="subscript"/>
        </w:rPr>
        <w:t>j,t+1</w:t>
      </w:r>
      <w:r>
        <w:rPr>
          <w:rFonts w:eastAsia="Times New Roman"/>
        </w:rPr>
        <w:t xml:space="preserve"> = (1 - </w:t>
      </w:r>
      <w:r>
        <w:rPr>
          <w:rFonts w:eastAsia="Times New Roman"/>
          <w:i/>
          <w:iCs/>
        </w:rPr>
        <w:t>δ</w:t>
      </w:r>
      <w:r>
        <w:rPr>
          <w:rFonts w:eastAsia="Times New Roman"/>
        </w:rPr>
        <w:t xml:space="preserve">) × </w:t>
      </w:r>
      <w:proofErr w:type="spellStart"/>
      <w:r>
        <w:rPr>
          <w:rFonts w:eastAsia="Times New Roman"/>
          <w:i/>
          <w:iCs/>
        </w:rPr>
        <w:t>K</w:t>
      </w:r>
      <w:r>
        <w:rPr>
          <w:rFonts w:eastAsia="Times New Roman"/>
          <w:vertAlign w:val="subscript"/>
        </w:rPr>
        <w:t>j,t</w:t>
      </w:r>
      <w:proofErr w:type="spellEnd"/>
      <w:r>
        <w:rPr>
          <w:rFonts w:eastAsia="Times New Roman"/>
        </w:rPr>
        <w:t xml:space="preserve"> + </w:t>
      </w:r>
      <w:proofErr w:type="spellStart"/>
      <w:r>
        <w:rPr>
          <w:rFonts w:eastAsia="Times New Roman"/>
          <w:i/>
          <w:iCs/>
        </w:rPr>
        <w:t>I</w:t>
      </w:r>
      <w:r>
        <w:rPr>
          <w:rFonts w:eastAsia="Times New Roman"/>
          <w:vertAlign w:val="subscript"/>
        </w:rPr>
        <w:t>j,t</w:t>
      </w:r>
      <w:proofErr w:type="spellEnd"/>
    </w:p>
    <w:p w14:paraId="37046BC2" w14:textId="77777777" w:rsidR="00BA469C" w:rsidRDefault="00BA469C" w:rsidP="00BA469C">
      <w:pPr>
        <w:jc w:val="both"/>
        <w:rPr>
          <w:rFonts w:eastAsia="Times New Roman"/>
        </w:rPr>
      </w:pPr>
      <w:r>
        <w:rPr>
          <w:rFonts w:eastAsia="Times New Roman"/>
        </w:rPr>
        <w:t xml:space="preserve">where </w:t>
      </w:r>
      <w:r>
        <w:rPr>
          <w:rFonts w:eastAsia="Times New Roman"/>
          <w:i/>
          <w:iCs/>
        </w:rPr>
        <w:t>K</w:t>
      </w:r>
      <w:r>
        <w:rPr>
          <w:rFonts w:eastAsia="Times New Roman"/>
        </w:rPr>
        <w:t xml:space="preserve"> is capital stock, </w:t>
      </w:r>
      <w:r>
        <w:rPr>
          <w:rFonts w:eastAsia="Times New Roman"/>
          <w:i/>
          <w:iCs/>
        </w:rPr>
        <w:t>δ</w:t>
      </w:r>
      <w:r>
        <w:rPr>
          <w:rFonts w:eastAsia="Times New Roman"/>
        </w:rPr>
        <w:t xml:space="preserve"> is depreciation rate (5% annually), and </w:t>
      </w:r>
      <w:r>
        <w:rPr>
          <w:rFonts w:eastAsia="Times New Roman"/>
          <w:i/>
          <w:iCs/>
        </w:rPr>
        <w:t>I</w:t>
      </w:r>
      <w:r>
        <w:rPr>
          <w:rFonts w:eastAsia="Times New Roman"/>
        </w:rPr>
        <w:t xml:space="preserve"> is investment. Investment allocation across sectors is determined by relative rates of return, subject to adjustment costs. </w:t>
      </w:r>
    </w:p>
    <w:p w14:paraId="52CF0C52" w14:textId="4A97DB77" w:rsidR="00697834" w:rsidRPr="00697834" w:rsidRDefault="00697834" w:rsidP="00697834">
      <w:pPr>
        <w:rPr>
          <w:b/>
          <w:bCs/>
        </w:rPr>
      </w:pPr>
      <w:r w:rsidRPr="00697834">
        <w:rPr>
          <w:b/>
          <w:bCs/>
        </w:rPr>
        <w:t>4.7.2 Labo</w:t>
      </w:r>
      <w:r w:rsidR="00C50061">
        <w:rPr>
          <w:b/>
          <w:bCs/>
        </w:rPr>
        <w:t>u</w:t>
      </w:r>
      <w:r w:rsidRPr="00697834">
        <w:rPr>
          <w:b/>
          <w:bCs/>
        </w:rPr>
        <w:t>r Force Evolution</w:t>
      </w:r>
    </w:p>
    <w:p w14:paraId="3F8BC03D" w14:textId="0E134C89" w:rsidR="00896DD4" w:rsidRPr="00EE7434" w:rsidRDefault="00697834" w:rsidP="00697834">
      <w:r>
        <w:t>Labo</w:t>
      </w:r>
      <w:r w:rsidR="00C50061">
        <w:t>u</w:t>
      </w:r>
      <w:r>
        <w:t>r supply in each region follows demographic projections:</w:t>
      </w:r>
    </w:p>
    <w:p w14:paraId="25538A6B" w14:textId="672A3BF6" w:rsidR="005A5DD9" w:rsidRDefault="005A5DD9" w:rsidP="005A5DD9">
      <w:pPr>
        <w:jc w:val="center"/>
        <w:rPr>
          <w:rFonts w:eastAsia="Times New Roman"/>
        </w:rPr>
      </w:pPr>
      <w:r>
        <w:rPr>
          <w:rFonts w:eastAsia="Times New Roman"/>
          <w:i/>
          <w:iCs/>
        </w:rPr>
        <w:t>LS</w:t>
      </w:r>
      <w:r>
        <w:rPr>
          <w:rFonts w:eastAsia="Times New Roman"/>
          <w:vertAlign w:val="subscript"/>
        </w:rPr>
        <w:t>r,t+1</w:t>
      </w:r>
      <w:r>
        <w:rPr>
          <w:rFonts w:eastAsia="Times New Roman"/>
        </w:rPr>
        <w:t xml:space="preserve"> = </w:t>
      </w:r>
      <w:proofErr w:type="spellStart"/>
      <w:r>
        <w:rPr>
          <w:rFonts w:eastAsia="Times New Roman"/>
          <w:i/>
          <w:iCs/>
        </w:rPr>
        <w:t>LS</w:t>
      </w:r>
      <w:r>
        <w:rPr>
          <w:rFonts w:eastAsia="Times New Roman"/>
          <w:vertAlign w:val="subscript"/>
        </w:rPr>
        <w:t>r,t</w:t>
      </w:r>
      <w:proofErr w:type="spellEnd"/>
      <w:r>
        <w:rPr>
          <w:rFonts w:eastAsia="Times New Roman"/>
        </w:rPr>
        <w:t xml:space="preserve"> × (1 + </w:t>
      </w:r>
      <w:proofErr w:type="spellStart"/>
      <w:r>
        <w:rPr>
          <w:rFonts w:eastAsia="Times New Roman"/>
          <w:i/>
          <w:iCs/>
        </w:rPr>
        <w:t>g</w:t>
      </w:r>
      <w:r>
        <w:rPr>
          <w:rFonts w:eastAsia="Times New Roman"/>
          <w:vertAlign w:val="subscript"/>
        </w:rPr>
        <w:t>L,r</w:t>
      </w:r>
      <w:proofErr w:type="spellEnd"/>
      <w:r>
        <w:rPr>
          <w:rFonts w:eastAsia="Times New Roman"/>
        </w:rPr>
        <w:t>)</w:t>
      </w:r>
    </w:p>
    <w:p w14:paraId="10F2017E" w14:textId="156BE4E3" w:rsidR="005A5DD9" w:rsidRDefault="005A5DD9" w:rsidP="00C50061">
      <w:pPr>
        <w:jc w:val="both"/>
        <w:rPr>
          <w:rFonts w:eastAsia="Times New Roman"/>
        </w:rPr>
      </w:pPr>
      <w:r>
        <w:rPr>
          <w:rFonts w:eastAsia="Times New Roman"/>
        </w:rPr>
        <w:t xml:space="preserve">where </w:t>
      </w:r>
      <w:r>
        <w:rPr>
          <w:rFonts w:eastAsia="Times New Roman"/>
          <w:i/>
          <w:iCs/>
        </w:rPr>
        <w:t>LS</w:t>
      </w:r>
      <w:r>
        <w:rPr>
          <w:rFonts w:eastAsia="Times New Roman"/>
        </w:rPr>
        <w:t xml:space="preserve"> is </w:t>
      </w:r>
      <w:r w:rsidR="00C50061">
        <w:rPr>
          <w:rFonts w:eastAsia="Times New Roman"/>
        </w:rPr>
        <w:t>labour</w:t>
      </w:r>
      <w:r>
        <w:rPr>
          <w:rFonts w:eastAsia="Times New Roman"/>
        </w:rPr>
        <w:t xml:space="preserve"> supply, </w:t>
      </w:r>
      <w:proofErr w:type="spellStart"/>
      <w:r>
        <w:rPr>
          <w:rFonts w:eastAsia="Times New Roman"/>
          <w:i/>
          <w:iCs/>
        </w:rPr>
        <w:t>g</w:t>
      </w:r>
      <w:r>
        <w:rPr>
          <w:rFonts w:eastAsia="Times New Roman"/>
          <w:vertAlign w:val="subscript"/>
        </w:rPr>
        <w:t>L</w:t>
      </w:r>
      <w:proofErr w:type="spellEnd"/>
      <w:r>
        <w:rPr>
          <w:rFonts w:eastAsia="Times New Roman"/>
        </w:rPr>
        <w:t xml:space="preserve"> is the </w:t>
      </w:r>
      <w:r w:rsidR="00C50061">
        <w:rPr>
          <w:rFonts w:eastAsia="Times New Roman"/>
        </w:rPr>
        <w:t>labour</w:t>
      </w:r>
      <w:r>
        <w:rPr>
          <w:rFonts w:eastAsia="Times New Roman"/>
        </w:rPr>
        <w:t xml:space="preserve"> force growth rate (region-specific, generally negative for Italy reflecting demographic trends). Labo</w:t>
      </w:r>
      <w:r w:rsidR="00C50061">
        <w:rPr>
          <w:rFonts w:eastAsia="Times New Roman"/>
        </w:rPr>
        <w:t>u</w:t>
      </w:r>
      <w:r>
        <w:rPr>
          <w:rFonts w:eastAsia="Times New Roman"/>
        </w:rPr>
        <w:t xml:space="preserve">r force participation rates are calibrated to ISTAT data and held constant in projections. </w:t>
      </w:r>
    </w:p>
    <w:p w14:paraId="13F67FEB" w14:textId="77777777" w:rsidR="000B5146" w:rsidRPr="000B5146" w:rsidRDefault="000B5146" w:rsidP="000B5146">
      <w:pPr>
        <w:rPr>
          <w:b/>
          <w:bCs/>
        </w:rPr>
      </w:pPr>
      <w:r w:rsidRPr="000B5146">
        <w:rPr>
          <w:b/>
          <w:bCs/>
        </w:rPr>
        <w:t>4.7.3 Productivity Growth</w:t>
      </w:r>
    </w:p>
    <w:p w14:paraId="0785742F" w14:textId="729604C7" w:rsidR="00896DD4" w:rsidRPr="00EE7434" w:rsidRDefault="000B5146" w:rsidP="000B5146">
      <w:r>
        <w:t>Total Factor Productivity (TFP) grows exogenously by sector:</w:t>
      </w:r>
    </w:p>
    <w:p w14:paraId="651F92F4" w14:textId="70430F2E" w:rsidR="002F7F39" w:rsidRDefault="002F7F39" w:rsidP="002F7F39">
      <w:pPr>
        <w:jc w:val="center"/>
        <w:rPr>
          <w:rFonts w:eastAsia="Times New Roman"/>
        </w:rPr>
      </w:pPr>
      <w:r>
        <w:rPr>
          <w:rFonts w:eastAsia="Times New Roman"/>
          <w:i/>
          <w:iCs/>
        </w:rPr>
        <w:t>TFP</w:t>
      </w:r>
      <w:r>
        <w:rPr>
          <w:rFonts w:eastAsia="Times New Roman"/>
          <w:vertAlign w:val="subscript"/>
        </w:rPr>
        <w:t>j,t+1</w:t>
      </w:r>
      <w:r>
        <w:rPr>
          <w:rFonts w:eastAsia="Times New Roman"/>
        </w:rPr>
        <w:t xml:space="preserve"> = </w:t>
      </w:r>
      <w:proofErr w:type="spellStart"/>
      <w:r>
        <w:rPr>
          <w:rFonts w:eastAsia="Times New Roman"/>
          <w:i/>
          <w:iCs/>
        </w:rPr>
        <w:t>TFP</w:t>
      </w:r>
      <w:r>
        <w:rPr>
          <w:rFonts w:eastAsia="Times New Roman"/>
          <w:vertAlign w:val="subscript"/>
        </w:rPr>
        <w:t>j,t</w:t>
      </w:r>
      <w:proofErr w:type="spellEnd"/>
      <w:r>
        <w:rPr>
          <w:rFonts w:eastAsia="Times New Roman"/>
        </w:rPr>
        <w:t xml:space="preserve"> × (1 + </w:t>
      </w:r>
      <w:proofErr w:type="spellStart"/>
      <w:r>
        <w:rPr>
          <w:rFonts w:eastAsia="Times New Roman"/>
          <w:i/>
          <w:iCs/>
        </w:rPr>
        <w:t>g</w:t>
      </w:r>
      <w:r>
        <w:rPr>
          <w:rFonts w:eastAsia="Times New Roman"/>
          <w:vertAlign w:val="subscript"/>
        </w:rPr>
        <w:t>TFP,j</w:t>
      </w:r>
      <w:proofErr w:type="spellEnd"/>
      <w:r>
        <w:rPr>
          <w:rFonts w:eastAsia="Times New Roman"/>
        </w:rPr>
        <w:t>)</w:t>
      </w:r>
    </w:p>
    <w:p w14:paraId="07559A2C" w14:textId="79061807" w:rsidR="002F7F39" w:rsidRDefault="002F7F39" w:rsidP="00F229C2">
      <w:pPr>
        <w:jc w:val="both"/>
        <w:rPr>
          <w:rFonts w:eastAsia="Times New Roman"/>
        </w:rPr>
      </w:pPr>
      <w:r>
        <w:rPr>
          <w:rFonts w:eastAsia="Times New Roman"/>
        </w:rPr>
        <w:t xml:space="preserve">TFP growth rates are calibrated to historical trends (0.5-1.0% annually depending on sector), reflecting technological progress and efficiency improvements independent of factor accumulation. </w:t>
      </w:r>
    </w:p>
    <w:p w14:paraId="6942C2B4" w14:textId="77777777" w:rsidR="00F50DF6" w:rsidRPr="00F50DF6" w:rsidRDefault="00F50DF6" w:rsidP="00F50DF6">
      <w:pPr>
        <w:jc w:val="both"/>
        <w:rPr>
          <w:rFonts w:eastAsia="Times New Roman"/>
          <w:b/>
          <w:bCs/>
        </w:rPr>
      </w:pPr>
      <w:r w:rsidRPr="00F50DF6">
        <w:rPr>
          <w:rFonts w:eastAsia="Times New Roman"/>
          <w:b/>
          <w:bCs/>
        </w:rPr>
        <w:lastRenderedPageBreak/>
        <w:t>4.7.4 Energy Efficiency and Renewable Capacity</w:t>
      </w:r>
    </w:p>
    <w:p w14:paraId="55C70F31" w14:textId="41346728" w:rsidR="00F50DF6" w:rsidRDefault="00F50DF6" w:rsidP="00F50DF6">
      <w:pPr>
        <w:jc w:val="both"/>
        <w:rPr>
          <w:rFonts w:eastAsia="Times New Roman"/>
        </w:rPr>
      </w:pPr>
      <w:r w:rsidRPr="00F50DF6">
        <w:rPr>
          <w:rFonts w:eastAsia="Times New Roman"/>
        </w:rPr>
        <w:t>Energy efficiency improves autonomously through AEEI:</w:t>
      </w:r>
    </w:p>
    <w:p w14:paraId="6611E676" w14:textId="296619CA" w:rsidR="00AF6813" w:rsidRPr="005E52A7" w:rsidRDefault="00AF6813" w:rsidP="00AF6813">
      <w:pPr>
        <w:jc w:val="center"/>
        <w:rPr>
          <w:rFonts w:eastAsia="Times New Roman"/>
          <w:lang w:val="de-DE"/>
        </w:rPr>
      </w:pPr>
      <w:r w:rsidRPr="005E52A7">
        <w:rPr>
          <w:rFonts w:eastAsia="Times New Roman"/>
          <w:i/>
          <w:iCs/>
          <w:lang w:val="de-DE"/>
        </w:rPr>
        <w:t>EI</w:t>
      </w:r>
      <w:r w:rsidRPr="005E52A7">
        <w:rPr>
          <w:rFonts w:eastAsia="Times New Roman"/>
          <w:vertAlign w:val="subscript"/>
          <w:lang w:val="de-DE"/>
        </w:rPr>
        <w:t>j,t+1</w:t>
      </w:r>
      <w:r w:rsidRPr="005E52A7">
        <w:rPr>
          <w:rFonts w:eastAsia="Times New Roman"/>
          <w:lang w:val="de-DE"/>
        </w:rPr>
        <w:t xml:space="preserve"> = </w:t>
      </w:r>
      <w:proofErr w:type="spellStart"/>
      <w:r w:rsidRPr="005E52A7">
        <w:rPr>
          <w:rFonts w:eastAsia="Times New Roman"/>
          <w:i/>
          <w:iCs/>
          <w:lang w:val="de-DE"/>
        </w:rPr>
        <w:t>EI</w:t>
      </w:r>
      <w:r w:rsidRPr="005E52A7">
        <w:rPr>
          <w:rFonts w:eastAsia="Times New Roman"/>
          <w:vertAlign w:val="subscript"/>
          <w:lang w:val="de-DE"/>
        </w:rPr>
        <w:t>j,t</w:t>
      </w:r>
      <w:proofErr w:type="spellEnd"/>
      <w:r w:rsidRPr="005E52A7">
        <w:rPr>
          <w:rFonts w:eastAsia="Times New Roman"/>
          <w:lang w:val="de-DE"/>
        </w:rPr>
        <w:t xml:space="preserve"> × (1 - AEEI) </w:t>
      </w:r>
    </w:p>
    <w:p w14:paraId="751F4ED5" w14:textId="722C6279" w:rsidR="00AF6813" w:rsidRDefault="00AF6813" w:rsidP="00466F51">
      <w:pPr>
        <w:jc w:val="both"/>
      </w:pPr>
      <w:r>
        <w:rPr>
          <w:rFonts w:eastAsia="Times New Roman"/>
        </w:rPr>
        <w:t xml:space="preserve">where </w:t>
      </w:r>
      <w:r>
        <w:rPr>
          <w:rFonts w:eastAsia="Times New Roman"/>
          <w:i/>
          <w:iCs/>
        </w:rPr>
        <w:t>EI</w:t>
      </w:r>
      <w:r>
        <w:rPr>
          <w:rFonts w:eastAsia="Times New Roman"/>
        </w:rPr>
        <w:t xml:space="preserve"> is energy intensity and AEEI = 0.018 (1.8% annual improvement). </w:t>
      </w:r>
      <w:r>
        <w:t>Renewable electricity capacity expands through investment, accelerated under carbon pricing scenarios:</w:t>
      </w:r>
    </w:p>
    <w:p w14:paraId="4BD8E902" w14:textId="676AE719" w:rsidR="00AD02E0" w:rsidRPr="005E52A7" w:rsidRDefault="00AD02E0" w:rsidP="00AD02E0">
      <w:pPr>
        <w:jc w:val="center"/>
        <w:rPr>
          <w:rFonts w:eastAsia="Times New Roman"/>
          <w:lang w:val="fr-FR"/>
        </w:rPr>
      </w:pPr>
      <w:r w:rsidRPr="005E52A7">
        <w:rPr>
          <w:rFonts w:eastAsia="Times New Roman"/>
          <w:i/>
          <w:iCs/>
          <w:lang w:val="fr-FR"/>
        </w:rPr>
        <w:t>CAP</w:t>
      </w:r>
      <w:r w:rsidRPr="005E52A7">
        <w:rPr>
          <w:rFonts w:eastAsia="Times New Roman"/>
          <w:vertAlign w:val="subscript"/>
          <w:lang w:val="fr-FR"/>
        </w:rPr>
        <w:t>RENEW,t+1</w:t>
      </w:r>
      <w:r w:rsidRPr="005E52A7">
        <w:rPr>
          <w:rFonts w:eastAsia="Times New Roman"/>
          <w:lang w:val="fr-FR"/>
        </w:rPr>
        <w:t xml:space="preserve"> = </w:t>
      </w:r>
      <w:proofErr w:type="spellStart"/>
      <w:r w:rsidRPr="005E52A7">
        <w:rPr>
          <w:rFonts w:eastAsia="Times New Roman"/>
          <w:i/>
          <w:iCs/>
          <w:lang w:val="fr-FR"/>
        </w:rPr>
        <w:t>CAP</w:t>
      </w:r>
      <w:r w:rsidRPr="005E52A7">
        <w:rPr>
          <w:rFonts w:eastAsia="Times New Roman"/>
          <w:vertAlign w:val="subscript"/>
          <w:lang w:val="fr-FR"/>
        </w:rPr>
        <w:t>RENEW,t</w:t>
      </w:r>
      <w:proofErr w:type="spellEnd"/>
      <w:r w:rsidRPr="005E52A7">
        <w:rPr>
          <w:rFonts w:eastAsia="Times New Roman"/>
          <w:lang w:val="fr-FR"/>
        </w:rPr>
        <w:t xml:space="preserve"> + </w:t>
      </w:r>
      <w:proofErr w:type="spellStart"/>
      <w:r w:rsidRPr="005E52A7">
        <w:rPr>
          <w:rFonts w:eastAsia="Times New Roman"/>
          <w:i/>
          <w:iCs/>
          <w:lang w:val="fr-FR"/>
        </w:rPr>
        <w:t>INV</w:t>
      </w:r>
      <w:r w:rsidRPr="005E52A7">
        <w:rPr>
          <w:rFonts w:eastAsia="Times New Roman"/>
          <w:vertAlign w:val="subscript"/>
          <w:lang w:val="fr-FR"/>
        </w:rPr>
        <w:t>RENEW,t</w:t>
      </w:r>
      <w:proofErr w:type="spellEnd"/>
      <w:r w:rsidRPr="005E52A7">
        <w:rPr>
          <w:rFonts w:eastAsia="Times New Roman"/>
          <w:lang w:val="fr-FR"/>
        </w:rPr>
        <w:t xml:space="preserve"> / </w:t>
      </w:r>
      <w:r w:rsidRPr="005E52A7">
        <w:rPr>
          <w:rFonts w:eastAsia="Times New Roman"/>
          <w:i/>
          <w:iCs/>
          <w:lang w:val="fr-FR"/>
        </w:rPr>
        <w:t>CAPEX</w:t>
      </w:r>
      <w:r w:rsidRPr="005E52A7">
        <w:rPr>
          <w:rFonts w:eastAsia="Times New Roman"/>
          <w:vertAlign w:val="subscript"/>
          <w:lang w:val="fr-FR"/>
        </w:rPr>
        <w:t>RENEW</w:t>
      </w:r>
    </w:p>
    <w:p w14:paraId="5B6FC127" w14:textId="77777777" w:rsidR="00AD02E0" w:rsidRDefault="00AD02E0" w:rsidP="00AD02E0">
      <w:pPr>
        <w:jc w:val="both"/>
        <w:rPr>
          <w:rFonts w:eastAsia="Times New Roman"/>
        </w:rPr>
      </w:pPr>
      <w:r>
        <w:rPr>
          <w:rFonts w:eastAsia="Times New Roman"/>
        </w:rPr>
        <w:t xml:space="preserve">where </w:t>
      </w:r>
      <w:r>
        <w:rPr>
          <w:rFonts w:eastAsia="Times New Roman"/>
          <w:i/>
          <w:iCs/>
        </w:rPr>
        <w:t>CAP</w:t>
      </w:r>
      <w:r>
        <w:rPr>
          <w:rFonts w:eastAsia="Times New Roman"/>
          <w:vertAlign w:val="subscript"/>
        </w:rPr>
        <w:t>RENEW</w:t>
      </w:r>
      <w:r>
        <w:rPr>
          <w:rFonts w:eastAsia="Times New Roman"/>
        </w:rPr>
        <w:t xml:space="preserve"> is renewable capacity (GW), </w:t>
      </w:r>
      <w:r>
        <w:rPr>
          <w:rFonts w:eastAsia="Times New Roman"/>
          <w:i/>
          <w:iCs/>
        </w:rPr>
        <w:t>INV</w:t>
      </w:r>
      <w:r>
        <w:rPr>
          <w:rFonts w:eastAsia="Times New Roman"/>
          <w:vertAlign w:val="subscript"/>
        </w:rPr>
        <w:t>RENEW</w:t>
      </w:r>
      <w:r>
        <w:rPr>
          <w:rFonts w:eastAsia="Times New Roman"/>
        </w:rPr>
        <w:t xml:space="preserve"> is investment (€), and </w:t>
      </w:r>
      <w:r>
        <w:rPr>
          <w:rFonts w:eastAsia="Times New Roman"/>
          <w:i/>
          <w:iCs/>
        </w:rPr>
        <w:t>CAPEX</w:t>
      </w:r>
      <w:r>
        <w:rPr>
          <w:rFonts w:eastAsia="Times New Roman"/>
          <w:vertAlign w:val="subscript"/>
        </w:rPr>
        <w:t>RENEW</w:t>
      </w:r>
      <w:r>
        <w:rPr>
          <w:rFonts w:eastAsia="Times New Roman"/>
        </w:rPr>
        <w:t xml:space="preserve"> is capital cost per unit capacity. Investment acceleration factors: 35% for ETS1, 60-80% for ETS2 (higher in South and Islands). </w:t>
      </w:r>
    </w:p>
    <w:p w14:paraId="144ACA9B" w14:textId="77777777" w:rsidR="007A6F95" w:rsidRPr="007A6F95" w:rsidRDefault="007A6F95" w:rsidP="007A6F95">
      <w:pPr>
        <w:jc w:val="both"/>
        <w:rPr>
          <w:rFonts w:eastAsia="Times New Roman"/>
          <w:b/>
          <w:bCs/>
        </w:rPr>
      </w:pPr>
      <w:r w:rsidRPr="007A6F95">
        <w:rPr>
          <w:rFonts w:eastAsia="Times New Roman"/>
          <w:b/>
          <w:bCs/>
        </w:rPr>
        <w:t>4.8 Solution Algorithm and Numerical Implementation</w:t>
      </w:r>
    </w:p>
    <w:p w14:paraId="144B58EE" w14:textId="77777777" w:rsidR="007A6F95" w:rsidRPr="007A6F95" w:rsidRDefault="007A6F95" w:rsidP="007A6F95">
      <w:pPr>
        <w:jc w:val="both"/>
        <w:rPr>
          <w:rFonts w:eastAsia="Times New Roman"/>
          <w:b/>
          <w:bCs/>
        </w:rPr>
      </w:pPr>
      <w:r w:rsidRPr="007A6F95">
        <w:rPr>
          <w:rFonts w:eastAsia="Times New Roman"/>
          <w:b/>
          <w:bCs/>
        </w:rPr>
        <w:t>4.8.1 Optimization Framework</w:t>
      </w:r>
    </w:p>
    <w:p w14:paraId="299F53EA" w14:textId="04689A24" w:rsidR="007A6F95" w:rsidRPr="007A6F95" w:rsidRDefault="007A6F95" w:rsidP="007A6F95">
      <w:pPr>
        <w:jc w:val="both"/>
        <w:rPr>
          <w:rFonts w:eastAsia="Times New Roman"/>
        </w:rPr>
      </w:pPr>
      <w:r w:rsidRPr="007A6F95">
        <w:rPr>
          <w:rFonts w:eastAsia="Times New Roman"/>
        </w:rPr>
        <w:t xml:space="preserve">The CGE-I5 model is implemented in Pyomo (Python Optimization </w:t>
      </w:r>
      <w:r w:rsidRPr="007A6F95">
        <w:rPr>
          <w:rFonts w:eastAsia="Times New Roman"/>
        </w:rPr>
        <w:t>Modelling</w:t>
      </w:r>
      <w:r w:rsidRPr="007A6F95">
        <w:rPr>
          <w:rFonts w:eastAsia="Times New Roman"/>
        </w:rPr>
        <w:t xml:space="preserve"> Objects), a flexible algebraic </w:t>
      </w:r>
      <w:r w:rsidRPr="007A6F95">
        <w:rPr>
          <w:rFonts w:eastAsia="Times New Roman"/>
        </w:rPr>
        <w:t>modelling</w:t>
      </w:r>
      <w:r w:rsidRPr="007A6F95">
        <w:rPr>
          <w:rFonts w:eastAsia="Times New Roman"/>
        </w:rPr>
        <w:t xml:space="preserve"> language for optimization. The model is formulated as a Mixed Complementarity Problem (MCP) but solved using nonlinear programming techniques.</w:t>
      </w:r>
    </w:p>
    <w:p w14:paraId="60630D59" w14:textId="77777777" w:rsidR="007A6F95" w:rsidRPr="007A6F95" w:rsidRDefault="007A6F95" w:rsidP="007A6F95">
      <w:pPr>
        <w:jc w:val="both"/>
        <w:rPr>
          <w:rFonts w:eastAsia="Times New Roman"/>
          <w:b/>
          <w:bCs/>
        </w:rPr>
      </w:pPr>
      <w:r w:rsidRPr="007A6F95">
        <w:rPr>
          <w:rFonts w:eastAsia="Times New Roman"/>
          <w:b/>
          <w:bCs/>
        </w:rPr>
        <w:t>4.8.2 Solver Configuration</w:t>
      </w:r>
    </w:p>
    <w:p w14:paraId="53040B43" w14:textId="77777777" w:rsidR="007A6F95" w:rsidRPr="007A6F95" w:rsidRDefault="007A6F95" w:rsidP="007A6F95">
      <w:pPr>
        <w:jc w:val="both"/>
        <w:rPr>
          <w:rFonts w:eastAsia="Times New Roman"/>
        </w:rPr>
      </w:pPr>
      <w:r w:rsidRPr="007A6F95">
        <w:rPr>
          <w:rFonts w:eastAsia="Times New Roman"/>
        </w:rPr>
        <w:t>The model employs IPOPT (Interior Point Optimizer) as the primary solver. IPOPT is well-suited for large-scale nonlinear optimization problems with the following key advantages:</w:t>
      </w:r>
    </w:p>
    <w:p w14:paraId="5D30F3D0" w14:textId="6B346494" w:rsidR="007A6F95" w:rsidRPr="007A6F95" w:rsidRDefault="007A6F95" w:rsidP="007A6F95">
      <w:pPr>
        <w:pStyle w:val="ListParagraph"/>
        <w:numPr>
          <w:ilvl w:val="0"/>
          <w:numId w:val="27"/>
        </w:numPr>
        <w:jc w:val="both"/>
        <w:rPr>
          <w:rFonts w:eastAsia="Times New Roman"/>
        </w:rPr>
      </w:pPr>
      <w:r w:rsidRPr="007A6F95">
        <w:rPr>
          <w:rFonts w:eastAsia="Times New Roman"/>
        </w:rPr>
        <w:t>Robust interior-point algorithm with line-search and trust-region methods</w:t>
      </w:r>
      <w:r>
        <w:rPr>
          <w:rFonts w:eastAsia="Times New Roman"/>
        </w:rPr>
        <w:t>.</w:t>
      </w:r>
    </w:p>
    <w:p w14:paraId="3A0650AC" w14:textId="45F53664" w:rsidR="007A6F95" w:rsidRPr="007A6F95" w:rsidRDefault="007A6F95" w:rsidP="007A6F95">
      <w:pPr>
        <w:pStyle w:val="ListParagraph"/>
        <w:numPr>
          <w:ilvl w:val="0"/>
          <w:numId w:val="27"/>
        </w:numPr>
        <w:jc w:val="both"/>
        <w:rPr>
          <w:rFonts w:eastAsia="Times New Roman"/>
        </w:rPr>
      </w:pPr>
      <w:r w:rsidRPr="007A6F95">
        <w:rPr>
          <w:rFonts w:eastAsia="Times New Roman"/>
        </w:rPr>
        <w:t>Efficient handling of sparse Jacobian and Hessian matrices</w:t>
      </w:r>
      <w:r>
        <w:rPr>
          <w:rFonts w:eastAsia="Times New Roman"/>
        </w:rPr>
        <w:t>.</w:t>
      </w:r>
    </w:p>
    <w:p w14:paraId="1F51B5B8" w14:textId="1DFB1F87" w:rsidR="007A6F95" w:rsidRPr="007A6F95" w:rsidRDefault="007A6F95" w:rsidP="007A6F95">
      <w:pPr>
        <w:pStyle w:val="ListParagraph"/>
        <w:numPr>
          <w:ilvl w:val="0"/>
          <w:numId w:val="27"/>
        </w:numPr>
        <w:jc w:val="both"/>
        <w:rPr>
          <w:rFonts w:eastAsia="Times New Roman"/>
        </w:rPr>
      </w:pPr>
      <w:r w:rsidRPr="007A6F95">
        <w:rPr>
          <w:rFonts w:eastAsia="Times New Roman"/>
        </w:rPr>
        <w:t>Automatic differentiation for derivative calculations</w:t>
      </w:r>
      <w:r>
        <w:rPr>
          <w:rFonts w:eastAsia="Times New Roman"/>
        </w:rPr>
        <w:t>.</w:t>
      </w:r>
    </w:p>
    <w:p w14:paraId="1CB52884" w14:textId="628185E9" w:rsidR="007A6F95" w:rsidRPr="007A6F95" w:rsidRDefault="007A6F95" w:rsidP="007A6F95">
      <w:pPr>
        <w:pStyle w:val="ListParagraph"/>
        <w:numPr>
          <w:ilvl w:val="0"/>
          <w:numId w:val="27"/>
        </w:numPr>
        <w:jc w:val="both"/>
        <w:rPr>
          <w:rFonts w:eastAsia="Times New Roman"/>
        </w:rPr>
      </w:pPr>
      <w:r w:rsidRPr="007A6F95">
        <w:rPr>
          <w:rFonts w:eastAsia="Times New Roman"/>
        </w:rPr>
        <w:t>Sophisticated convergence diagnostics and error reporting</w:t>
      </w:r>
      <w:r>
        <w:rPr>
          <w:rFonts w:eastAsia="Times New Roman"/>
        </w:rPr>
        <w:t>.</w:t>
      </w:r>
    </w:p>
    <w:p w14:paraId="6CE00D2B" w14:textId="7E6AAE01" w:rsidR="007A6F95" w:rsidRPr="007A6F95" w:rsidRDefault="007A6F95" w:rsidP="007A6F95">
      <w:pPr>
        <w:jc w:val="both"/>
        <w:rPr>
          <w:rFonts w:eastAsia="Times New Roman"/>
        </w:rPr>
      </w:pPr>
      <w:r w:rsidRPr="007A6F95">
        <w:rPr>
          <w:rFonts w:eastAsia="Times New Roman"/>
        </w:rPr>
        <w:t xml:space="preserve">Solver tolerances are set appropriately for economic </w:t>
      </w:r>
      <w:r w:rsidRPr="007A6F95">
        <w:rPr>
          <w:rFonts w:eastAsia="Times New Roman"/>
        </w:rPr>
        <w:t>modelling</w:t>
      </w:r>
      <w:r w:rsidRPr="007A6F95">
        <w:rPr>
          <w:rFonts w:eastAsia="Times New Roman"/>
        </w:rPr>
        <w:t>: overall convergence tolerance 1e-4, constraint violation tolerance 1e-3. These values balance solution accuracy with computational efficiency.</w:t>
      </w:r>
    </w:p>
    <w:p w14:paraId="6A6613D1" w14:textId="77777777" w:rsidR="007A6F95" w:rsidRPr="007A6F95" w:rsidRDefault="007A6F95" w:rsidP="007A6F95">
      <w:pPr>
        <w:jc w:val="both"/>
        <w:rPr>
          <w:rFonts w:eastAsia="Times New Roman"/>
          <w:b/>
          <w:bCs/>
        </w:rPr>
      </w:pPr>
      <w:r w:rsidRPr="007A6F95">
        <w:rPr>
          <w:rFonts w:eastAsia="Times New Roman"/>
          <w:b/>
          <w:bCs/>
        </w:rPr>
        <w:t>4.8.3  Calibration and Initialization</w:t>
      </w:r>
    </w:p>
    <w:p w14:paraId="69133A06" w14:textId="77777777" w:rsidR="007A6F95" w:rsidRPr="007A6F95" w:rsidRDefault="007A6F95" w:rsidP="007A6F95">
      <w:pPr>
        <w:jc w:val="both"/>
        <w:rPr>
          <w:rFonts w:eastAsia="Times New Roman"/>
        </w:rPr>
      </w:pPr>
      <w:r w:rsidRPr="007A6F95">
        <w:rPr>
          <w:rFonts w:eastAsia="Times New Roman"/>
        </w:rPr>
        <w:t>The base year (2021) calibration proceeds in several steps:</w:t>
      </w:r>
    </w:p>
    <w:p w14:paraId="21A5F71C" w14:textId="27D93CCA" w:rsidR="007A6F95" w:rsidRPr="00D40715" w:rsidRDefault="007A6F95" w:rsidP="00D40715">
      <w:pPr>
        <w:pStyle w:val="ListParagraph"/>
        <w:numPr>
          <w:ilvl w:val="0"/>
          <w:numId w:val="28"/>
        </w:numPr>
        <w:jc w:val="both"/>
        <w:rPr>
          <w:rFonts w:eastAsia="Times New Roman"/>
        </w:rPr>
      </w:pPr>
      <w:r w:rsidRPr="00D40715">
        <w:rPr>
          <w:rFonts w:eastAsia="Times New Roman"/>
        </w:rPr>
        <w:t>SAM balancing: Ensure row and column sums are consistent</w:t>
      </w:r>
      <w:r w:rsidR="001B7E5D" w:rsidRPr="00D40715">
        <w:rPr>
          <w:rFonts w:eastAsia="Times New Roman"/>
        </w:rPr>
        <w:t>.</w:t>
      </w:r>
    </w:p>
    <w:p w14:paraId="7705BB78" w14:textId="1A5E84AA" w:rsidR="007A6F95" w:rsidRPr="00D40715" w:rsidRDefault="007A6F95" w:rsidP="00D40715">
      <w:pPr>
        <w:pStyle w:val="ListParagraph"/>
        <w:numPr>
          <w:ilvl w:val="0"/>
          <w:numId w:val="28"/>
        </w:numPr>
        <w:jc w:val="both"/>
        <w:rPr>
          <w:rFonts w:eastAsia="Times New Roman"/>
        </w:rPr>
      </w:pPr>
      <w:r w:rsidRPr="00D40715">
        <w:rPr>
          <w:rFonts w:eastAsia="Times New Roman"/>
        </w:rPr>
        <w:t>Parameter calculation: Derive share and efficiency parameters from SAM flows</w:t>
      </w:r>
      <w:r w:rsidR="001B7E5D" w:rsidRPr="00D40715">
        <w:rPr>
          <w:rFonts w:eastAsia="Times New Roman"/>
        </w:rPr>
        <w:t>.</w:t>
      </w:r>
    </w:p>
    <w:p w14:paraId="31F5E3AE" w14:textId="2E426137" w:rsidR="007A6F95" w:rsidRPr="00D40715" w:rsidRDefault="007A6F95" w:rsidP="00D40715">
      <w:pPr>
        <w:pStyle w:val="ListParagraph"/>
        <w:numPr>
          <w:ilvl w:val="0"/>
          <w:numId w:val="28"/>
        </w:numPr>
        <w:jc w:val="both"/>
        <w:rPr>
          <w:rFonts w:eastAsia="Times New Roman"/>
        </w:rPr>
      </w:pPr>
      <w:r w:rsidRPr="00D40715">
        <w:rPr>
          <w:rFonts w:eastAsia="Times New Roman"/>
        </w:rPr>
        <w:lastRenderedPageBreak/>
        <w:t>Consistency checks: Verify that parameters reproduce observed quantities and prices</w:t>
      </w:r>
      <w:r w:rsidR="001B7E5D" w:rsidRPr="00D40715">
        <w:rPr>
          <w:rFonts w:eastAsia="Times New Roman"/>
        </w:rPr>
        <w:t>.</w:t>
      </w:r>
    </w:p>
    <w:p w14:paraId="412C5211" w14:textId="36129017" w:rsidR="007A6F95" w:rsidRPr="00D40715" w:rsidRDefault="007A6F95" w:rsidP="00D40715">
      <w:pPr>
        <w:pStyle w:val="ListParagraph"/>
        <w:numPr>
          <w:ilvl w:val="0"/>
          <w:numId w:val="28"/>
        </w:numPr>
        <w:jc w:val="both"/>
        <w:rPr>
          <w:rFonts w:eastAsia="Times New Roman"/>
        </w:rPr>
      </w:pPr>
      <w:r w:rsidRPr="00D40715">
        <w:rPr>
          <w:rFonts w:eastAsia="Times New Roman"/>
        </w:rPr>
        <w:t>Sensitivity testing: Confirm reasonable response to small perturbations</w:t>
      </w:r>
      <w:r w:rsidR="001B7E5D" w:rsidRPr="00D40715">
        <w:rPr>
          <w:rFonts w:eastAsia="Times New Roman"/>
        </w:rPr>
        <w:t>.</w:t>
      </w:r>
    </w:p>
    <w:p w14:paraId="03436727" w14:textId="6D51FED8" w:rsidR="00AD02E0" w:rsidRPr="00466F51" w:rsidRDefault="007A6F95" w:rsidP="007A6F95">
      <w:pPr>
        <w:jc w:val="both"/>
        <w:rPr>
          <w:rFonts w:eastAsia="Times New Roman"/>
        </w:rPr>
      </w:pPr>
      <w:r w:rsidRPr="007A6F95">
        <w:rPr>
          <w:rFonts w:eastAsia="Times New Roman"/>
        </w:rPr>
        <w:t>For projection years, the model is initialized using the previous year's solution, with dynamic parameters updated according to exogenous trajectories (</w:t>
      </w:r>
      <w:r w:rsidR="001B7E5D" w:rsidRPr="007A6F95">
        <w:rPr>
          <w:rFonts w:eastAsia="Times New Roman"/>
        </w:rPr>
        <w:t>labour</w:t>
      </w:r>
      <w:r w:rsidRPr="007A6F95">
        <w:rPr>
          <w:rFonts w:eastAsia="Times New Roman"/>
        </w:rPr>
        <w:t xml:space="preserve"> supply, TFP, world prices, policy variables).</w:t>
      </w:r>
    </w:p>
    <w:p w14:paraId="0F91820C" w14:textId="77777777" w:rsidR="00136951" w:rsidRPr="00136951" w:rsidRDefault="00136951" w:rsidP="00136951">
      <w:pPr>
        <w:rPr>
          <w:b/>
          <w:bCs/>
          <w:lang w:val="en-US"/>
        </w:rPr>
      </w:pPr>
      <w:r w:rsidRPr="00136951">
        <w:rPr>
          <w:b/>
          <w:bCs/>
          <w:lang w:val="en-US"/>
        </w:rPr>
        <w:t>4.8.4 Convergence and Validation</w:t>
      </w:r>
    </w:p>
    <w:p w14:paraId="5C36CD51" w14:textId="77777777" w:rsidR="00136951" w:rsidRPr="00136951" w:rsidRDefault="00136951" w:rsidP="00136951">
      <w:pPr>
        <w:jc w:val="both"/>
        <w:rPr>
          <w:lang w:val="en-US"/>
        </w:rPr>
      </w:pPr>
      <w:r w:rsidRPr="00136951">
        <w:rPr>
          <w:lang w:val="en-US"/>
        </w:rPr>
        <w:t>Model convergence is monitored through:</w:t>
      </w:r>
    </w:p>
    <w:p w14:paraId="3D6F76CA" w14:textId="5AC87E30" w:rsidR="00136951" w:rsidRPr="00136951" w:rsidRDefault="00136951" w:rsidP="00136951">
      <w:pPr>
        <w:pStyle w:val="ListParagraph"/>
        <w:numPr>
          <w:ilvl w:val="0"/>
          <w:numId w:val="30"/>
        </w:numPr>
        <w:jc w:val="both"/>
        <w:rPr>
          <w:lang w:val="en-US"/>
        </w:rPr>
      </w:pPr>
      <w:r w:rsidRPr="00136951">
        <w:rPr>
          <w:lang w:val="en-US"/>
        </w:rPr>
        <w:t>Objective function value (minimized deviation from equilibrium)</w:t>
      </w:r>
      <w:r>
        <w:rPr>
          <w:lang w:val="en-US"/>
        </w:rPr>
        <w:t>.</w:t>
      </w:r>
    </w:p>
    <w:p w14:paraId="782CFF77" w14:textId="589DE8F4" w:rsidR="00136951" w:rsidRPr="00136951" w:rsidRDefault="00136951" w:rsidP="00136951">
      <w:pPr>
        <w:pStyle w:val="ListParagraph"/>
        <w:numPr>
          <w:ilvl w:val="0"/>
          <w:numId w:val="30"/>
        </w:numPr>
        <w:jc w:val="both"/>
        <w:rPr>
          <w:lang w:val="en-US"/>
        </w:rPr>
      </w:pPr>
      <w:r w:rsidRPr="00136951">
        <w:rPr>
          <w:lang w:val="en-US"/>
        </w:rPr>
        <w:t>Maximum constraint violation (all market clearing conditions)</w:t>
      </w:r>
      <w:r>
        <w:rPr>
          <w:lang w:val="en-US"/>
        </w:rPr>
        <w:t>.</w:t>
      </w:r>
    </w:p>
    <w:p w14:paraId="7151817F" w14:textId="3CFEB999" w:rsidR="00136951" w:rsidRPr="00136951" w:rsidRDefault="00136951" w:rsidP="00136951">
      <w:pPr>
        <w:pStyle w:val="ListParagraph"/>
        <w:numPr>
          <w:ilvl w:val="0"/>
          <w:numId w:val="30"/>
        </w:numPr>
        <w:jc w:val="both"/>
        <w:rPr>
          <w:lang w:val="en-US"/>
        </w:rPr>
      </w:pPr>
      <w:r w:rsidRPr="00136951">
        <w:rPr>
          <w:lang w:val="en-US"/>
        </w:rPr>
        <w:t>Walras' Law verification (ensuring one market clearing is redundant)</w:t>
      </w:r>
      <w:r>
        <w:rPr>
          <w:lang w:val="en-US"/>
        </w:rPr>
        <w:t>.</w:t>
      </w:r>
    </w:p>
    <w:p w14:paraId="5EE1DC59" w14:textId="1322FE13" w:rsidR="00136951" w:rsidRPr="00136951" w:rsidRDefault="00136951" w:rsidP="00136951">
      <w:pPr>
        <w:pStyle w:val="ListParagraph"/>
        <w:numPr>
          <w:ilvl w:val="0"/>
          <w:numId w:val="30"/>
        </w:numPr>
        <w:jc w:val="both"/>
        <w:rPr>
          <w:lang w:val="en-US"/>
        </w:rPr>
      </w:pPr>
      <w:r w:rsidRPr="00136951">
        <w:rPr>
          <w:lang w:val="en-US"/>
        </w:rPr>
        <w:t>Economic plausibility checks (positive quantities, reasonable price levels)</w:t>
      </w:r>
      <w:r>
        <w:rPr>
          <w:lang w:val="en-US"/>
        </w:rPr>
        <w:t>.</w:t>
      </w:r>
    </w:p>
    <w:p w14:paraId="5A7246F2" w14:textId="19CF1BE0" w:rsidR="00896DD4" w:rsidRPr="00AF6813" w:rsidRDefault="00136951" w:rsidP="00136951">
      <w:pPr>
        <w:jc w:val="both"/>
        <w:rPr>
          <w:lang w:val="en-US"/>
        </w:rPr>
      </w:pPr>
      <w:r w:rsidRPr="00136951">
        <w:rPr>
          <w:lang w:val="en-US"/>
        </w:rPr>
        <w:t>Failed convergence triggers diagnostic routines to identify problematic constraints or parameter values. The model incorporates variable bounds and scaling to improve numerical stability.</w:t>
      </w:r>
    </w:p>
    <w:p w14:paraId="0244A3AF" w14:textId="77777777" w:rsidR="00E428BE" w:rsidRPr="00E428BE" w:rsidRDefault="00E428BE" w:rsidP="00E428BE">
      <w:pPr>
        <w:rPr>
          <w:b/>
          <w:bCs/>
        </w:rPr>
      </w:pPr>
      <w:r w:rsidRPr="00E428BE">
        <w:rPr>
          <w:b/>
          <w:bCs/>
        </w:rPr>
        <w:t>4.9 Model Limitations and Scope</w:t>
      </w:r>
    </w:p>
    <w:p w14:paraId="1E48166A" w14:textId="77777777" w:rsidR="00E428BE" w:rsidRDefault="00E428BE" w:rsidP="00E428BE">
      <w:r>
        <w:t>As with all models, the CGE-I5 framework involves simplifications and abstractions. Key limitations include:</w:t>
      </w:r>
    </w:p>
    <w:p w14:paraId="4E90AFEF" w14:textId="2FFE51E7" w:rsidR="00E428BE" w:rsidRDefault="00E428BE" w:rsidP="00E428BE">
      <w:pPr>
        <w:pStyle w:val="ListParagraph"/>
        <w:numPr>
          <w:ilvl w:val="0"/>
          <w:numId w:val="30"/>
        </w:numPr>
      </w:pPr>
      <w:r>
        <w:t>Static expectations: Agents are myopic, not forming rational expectations about future prices or policies</w:t>
      </w:r>
      <w:r w:rsidR="00B72741">
        <w:t>.</w:t>
      </w:r>
    </w:p>
    <w:p w14:paraId="1FBA42FC" w14:textId="27F9AA13" w:rsidR="00E428BE" w:rsidRDefault="00E428BE" w:rsidP="00E428BE">
      <w:pPr>
        <w:pStyle w:val="ListParagraph"/>
        <w:numPr>
          <w:ilvl w:val="0"/>
          <w:numId w:val="30"/>
        </w:numPr>
      </w:pPr>
      <w:r>
        <w:t>Representative agents: Households aggregated by region; within-region heterogeneity not captured</w:t>
      </w:r>
      <w:r w:rsidR="00B72741">
        <w:t>.</w:t>
      </w:r>
    </w:p>
    <w:p w14:paraId="47A88B3F" w14:textId="60D00917" w:rsidR="00E428BE" w:rsidRDefault="00E428BE" w:rsidP="00E428BE">
      <w:pPr>
        <w:pStyle w:val="ListParagraph"/>
        <w:numPr>
          <w:ilvl w:val="0"/>
          <w:numId w:val="30"/>
        </w:numPr>
      </w:pPr>
      <w:r>
        <w:t xml:space="preserve">Perfect competition: All markets assumed competitive; market power and strategic </w:t>
      </w:r>
      <w:r>
        <w:t>behaviour</w:t>
      </w:r>
      <w:r>
        <w:t xml:space="preserve"> excluded</w:t>
      </w:r>
      <w:r w:rsidR="00B72741">
        <w:t>.</w:t>
      </w:r>
    </w:p>
    <w:p w14:paraId="27F2D797" w14:textId="1E1683EE" w:rsidR="00E428BE" w:rsidRDefault="00E428BE" w:rsidP="00E428BE">
      <w:pPr>
        <w:pStyle w:val="ListParagraph"/>
        <w:numPr>
          <w:ilvl w:val="0"/>
          <w:numId w:val="30"/>
        </w:numPr>
      </w:pPr>
      <w:r>
        <w:t xml:space="preserve">Technology representation: Production functions are smooth and continuous; discrete technology choices not </w:t>
      </w:r>
      <w:r>
        <w:t>modelled</w:t>
      </w:r>
      <w:r w:rsidR="00B72741">
        <w:t>.</w:t>
      </w:r>
    </w:p>
    <w:p w14:paraId="2A457E52" w14:textId="4B5885EC" w:rsidR="00E428BE" w:rsidRDefault="00E428BE" w:rsidP="00E428BE">
      <w:pPr>
        <w:pStyle w:val="ListParagraph"/>
        <w:numPr>
          <w:ilvl w:val="0"/>
          <w:numId w:val="30"/>
        </w:numPr>
      </w:pPr>
      <w:r>
        <w:t>International spillovers: World prices exogenous; feedback effects through international trade limited</w:t>
      </w:r>
      <w:r w:rsidR="00B72741">
        <w:t>.</w:t>
      </w:r>
    </w:p>
    <w:p w14:paraId="470BC7AF" w14:textId="6AF81C09" w:rsidR="00E428BE" w:rsidRDefault="00E428BE" w:rsidP="00E428BE">
      <w:pPr>
        <w:pStyle w:val="ListParagraph"/>
        <w:numPr>
          <w:ilvl w:val="0"/>
          <w:numId w:val="30"/>
        </w:numPr>
      </w:pPr>
      <w:r>
        <w:t>Non-CO₂ emissions: Focus on CO₂ from fuel combustion; other greenhouse gases and air pollutants excluded</w:t>
      </w:r>
      <w:r w:rsidR="00B72741">
        <w:t>.</w:t>
      </w:r>
    </w:p>
    <w:p w14:paraId="29F871BF" w14:textId="74CCAC3A" w:rsidR="00E428BE" w:rsidRDefault="00E428BE" w:rsidP="00E428BE">
      <w:pPr>
        <w:pStyle w:val="ListParagraph"/>
        <w:numPr>
          <w:ilvl w:val="0"/>
          <w:numId w:val="30"/>
        </w:numPr>
      </w:pPr>
      <w:r>
        <w:t>Behavioural</w:t>
      </w:r>
      <w:r>
        <w:t xml:space="preserve"> factors: Standard rational choice assumptions; </w:t>
      </w:r>
      <w:r>
        <w:t>behavioural</w:t>
      </w:r>
      <w:r>
        <w:t xml:space="preserve"> biases and social norms not </w:t>
      </w:r>
      <w:r>
        <w:t>modelled</w:t>
      </w:r>
      <w:r w:rsidR="00B72741">
        <w:t>.</w:t>
      </w:r>
    </w:p>
    <w:p w14:paraId="3B3078D0" w14:textId="3445CCC0" w:rsidR="00E428BE" w:rsidRDefault="00E428BE" w:rsidP="00E428BE">
      <w:pPr>
        <w:pStyle w:val="ListParagraph"/>
        <w:numPr>
          <w:ilvl w:val="0"/>
          <w:numId w:val="30"/>
        </w:numPr>
      </w:pPr>
      <w:r>
        <w:t xml:space="preserve">Short-run rigidities: Some adjustment costs included but full range of frictions (e.g., wage stickiness) not comprehensively </w:t>
      </w:r>
      <w:r>
        <w:t>modelled</w:t>
      </w:r>
      <w:r w:rsidR="00B72741">
        <w:t>.</w:t>
      </w:r>
    </w:p>
    <w:p w14:paraId="514D4357" w14:textId="4D97A7E4" w:rsidR="00F70275" w:rsidRDefault="00E428BE" w:rsidP="00E428BE">
      <w:r>
        <w:lastRenderedPageBreak/>
        <w:t>These limitations are acknowledged in interpreting results. Where possible, sensitivity analysis explores the implications of alternative assumptions. The model is best viewed as a tool for systematic scenario comparison rather than precise point prediction.</w:t>
      </w:r>
    </w:p>
    <w:p w14:paraId="572091D9" w14:textId="17880588" w:rsidR="00EE1610" w:rsidRPr="00EE1610" w:rsidRDefault="00EE1610" w:rsidP="00EE1610">
      <w:pPr>
        <w:pStyle w:val="ListParagraph"/>
        <w:numPr>
          <w:ilvl w:val="0"/>
          <w:numId w:val="28"/>
        </w:numPr>
        <w:rPr>
          <w:b/>
          <w:bCs/>
        </w:rPr>
      </w:pPr>
      <w:r w:rsidRPr="00EE1610">
        <w:rPr>
          <w:b/>
          <w:bCs/>
        </w:rPr>
        <w:t>Simulation Results and Key Findings</w:t>
      </w:r>
    </w:p>
    <w:p w14:paraId="03E0BFD8" w14:textId="77777777" w:rsidR="001625A1" w:rsidRDefault="00EE1610" w:rsidP="001625A1">
      <w:pPr>
        <w:jc w:val="both"/>
      </w:pPr>
      <w:r>
        <w:t xml:space="preserve">This section presents the main results from simulating the three scenarios (BAU, ETS1, ETS2) over the period 2021-2040. </w:t>
      </w:r>
    </w:p>
    <w:p w14:paraId="192BC2DC" w14:textId="6670790C" w:rsidR="00783E66" w:rsidRPr="00783E66" w:rsidRDefault="00F658D4" w:rsidP="001625A1">
      <w:pPr>
        <w:jc w:val="both"/>
        <w:rPr>
          <w:rFonts w:asciiTheme="majorBidi" w:hAnsiTheme="majorBidi" w:cstheme="majorBidi"/>
          <w:b/>
          <w:bCs/>
          <w:szCs w:val="24"/>
        </w:rPr>
      </w:pPr>
      <w:r w:rsidRPr="00783E66">
        <w:rPr>
          <w:rFonts w:asciiTheme="majorBidi" w:hAnsiTheme="majorBidi" w:cstheme="majorBidi"/>
          <w:b/>
          <w:bCs/>
          <w:szCs w:val="24"/>
        </w:rPr>
        <w:t>Environmental Effectiveness</w:t>
      </w:r>
    </w:p>
    <w:p w14:paraId="61E51044" w14:textId="188AA013" w:rsidR="00F658D4" w:rsidRPr="00783E66" w:rsidRDefault="00F658D4" w:rsidP="00783E66">
      <w:pPr>
        <w:jc w:val="both"/>
        <w:rPr>
          <w:rFonts w:asciiTheme="majorBidi" w:hAnsiTheme="majorBidi" w:cstheme="majorBidi"/>
          <w:b/>
          <w:bCs/>
          <w:szCs w:val="24"/>
        </w:rPr>
      </w:pPr>
      <w:r w:rsidRPr="00783E66">
        <w:rPr>
          <w:rFonts w:asciiTheme="majorBidi" w:hAnsiTheme="majorBidi" w:cstheme="majorBidi"/>
          <w:szCs w:val="24"/>
        </w:rPr>
        <w:t>The three scenarios produce substantially different emission pathways:</w:t>
      </w:r>
    </w:p>
    <w:tbl>
      <w:tblPr>
        <w:tblStyle w:val="LightGrid-Accent1"/>
        <w:tblW w:w="0" w:type="auto"/>
        <w:tblLook w:val="04A0" w:firstRow="1" w:lastRow="0" w:firstColumn="1" w:lastColumn="0" w:noHBand="0" w:noVBand="1"/>
      </w:tblPr>
      <w:tblGrid>
        <w:gridCol w:w="2160"/>
        <w:gridCol w:w="2160"/>
        <w:gridCol w:w="2160"/>
        <w:gridCol w:w="2160"/>
      </w:tblGrid>
      <w:tr w:rsidR="00F658D4" w:rsidRPr="00F658D4" w14:paraId="212D4277" w14:textId="77777777" w:rsidTr="00FA7B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ADEB41" w14:textId="77777777" w:rsidR="00F658D4" w:rsidRPr="00F658D4" w:rsidRDefault="00F658D4" w:rsidP="00FA7BE0">
            <w:pPr>
              <w:rPr>
                <w:rFonts w:asciiTheme="majorBidi" w:hAnsiTheme="majorBidi"/>
                <w:szCs w:val="24"/>
              </w:rPr>
            </w:pPr>
            <w:r w:rsidRPr="00F658D4">
              <w:rPr>
                <w:rFonts w:asciiTheme="majorBidi" w:hAnsiTheme="majorBidi"/>
                <w:szCs w:val="24"/>
              </w:rPr>
              <w:t>Year</w:t>
            </w:r>
          </w:p>
        </w:tc>
        <w:tc>
          <w:tcPr>
            <w:tcW w:w="2160" w:type="dxa"/>
          </w:tcPr>
          <w:p w14:paraId="4A26DB54" w14:textId="77777777" w:rsidR="00F658D4" w:rsidRPr="00F658D4" w:rsidRDefault="00F658D4" w:rsidP="00FA7BE0">
            <w:pPr>
              <w:cnfStyle w:val="100000000000" w:firstRow="1" w:lastRow="0" w:firstColumn="0" w:lastColumn="0" w:oddVBand="0" w:evenVBand="0" w:oddHBand="0" w:evenHBand="0" w:firstRowFirstColumn="0" w:firstRowLastColumn="0" w:lastRowFirstColumn="0" w:lastRowLastColumn="0"/>
              <w:rPr>
                <w:rFonts w:asciiTheme="majorBidi" w:hAnsiTheme="majorBidi"/>
                <w:szCs w:val="24"/>
              </w:rPr>
            </w:pPr>
            <w:r w:rsidRPr="00F658D4">
              <w:rPr>
                <w:rFonts w:asciiTheme="majorBidi" w:hAnsiTheme="majorBidi"/>
                <w:szCs w:val="24"/>
              </w:rPr>
              <w:t>BAU (MtCO₂)</w:t>
            </w:r>
          </w:p>
        </w:tc>
        <w:tc>
          <w:tcPr>
            <w:tcW w:w="2160" w:type="dxa"/>
          </w:tcPr>
          <w:p w14:paraId="4FB900A1" w14:textId="77777777" w:rsidR="00F658D4" w:rsidRPr="00F658D4" w:rsidRDefault="00F658D4" w:rsidP="00FA7BE0">
            <w:pPr>
              <w:cnfStyle w:val="100000000000" w:firstRow="1" w:lastRow="0" w:firstColumn="0" w:lastColumn="0" w:oddVBand="0" w:evenVBand="0" w:oddHBand="0" w:evenHBand="0" w:firstRowFirstColumn="0" w:firstRowLastColumn="0" w:lastRowFirstColumn="0" w:lastRowLastColumn="0"/>
              <w:rPr>
                <w:rFonts w:asciiTheme="majorBidi" w:hAnsiTheme="majorBidi"/>
                <w:szCs w:val="24"/>
              </w:rPr>
            </w:pPr>
            <w:r w:rsidRPr="00F658D4">
              <w:rPr>
                <w:rFonts w:asciiTheme="majorBidi" w:hAnsiTheme="majorBidi"/>
                <w:szCs w:val="24"/>
              </w:rPr>
              <w:t>ETS1 (MtCO₂)</w:t>
            </w:r>
          </w:p>
        </w:tc>
        <w:tc>
          <w:tcPr>
            <w:tcW w:w="2160" w:type="dxa"/>
          </w:tcPr>
          <w:p w14:paraId="0759F589" w14:textId="77777777" w:rsidR="00F658D4" w:rsidRPr="00F658D4" w:rsidRDefault="00F658D4" w:rsidP="00FA7BE0">
            <w:pPr>
              <w:cnfStyle w:val="100000000000" w:firstRow="1" w:lastRow="0" w:firstColumn="0" w:lastColumn="0" w:oddVBand="0" w:evenVBand="0" w:oddHBand="0" w:evenHBand="0" w:firstRowFirstColumn="0" w:firstRowLastColumn="0" w:lastRowFirstColumn="0" w:lastRowLastColumn="0"/>
              <w:rPr>
                <w:rFonts w:asciiTheme="majorBidi" w:hAnsiTheme="majorBidi"/>
                <w:szCs w:val="24"/>
              </w:rPr>
            </w:pPr>
            <w:r w:rsidRPr="00F658D4">
              <w:rPr>
                <w:rFonts w:asciiTheme="majorBidi" w:hAnsiTheme="majorBidi"/>
                <w:szCs w:val="24"/>
              </w:rPr>
              <w:t>ETS2 (MtCO₂)</w:t>
            </w:r>
          </w:p>
        </w:tc>
      </w:tr>
      <w:tr w:rsidR="00F658D4" w:rsidRPr="00F658D4" w14:paraId="3774B091" w14:textId="77777777" w:rsidTr="00FA7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5BA3D3" w14:textId="77777777" w:rsidR="00F658D4" w:rsidRPr="00F658D4" w:rsidRDefault="00F658D4" w:rsidP="00FA7BE0">
            <w:pPr>
              <w:rPr>
                <w:rFonts w:asciiTheme="majorBidi" w:hAnsiTheme="majorBidi"/>
                <w:szCs w:val="24"/>
              </w:rPr>
            </w:pPr>
            <w:r w:rsidRPr="00F658D4">
              <w:rPr>
                <w:rFonts w:asciiTheme="majorBidi" w:hAnsiTheme="majorBidi"/>
                <w:szCs w:val="24"/>
              </w:rPr>
              <w:t>2021 (base)</w:t>
            </w:r>
          </w:p>
        </w:tc>
        <w:tc>
          <w:tcPr>
            <w:tcW w:w="2160" w:type="dxa"/>
          </w:tcPr>
          <w:p w14:paraId="36A8B244" w14:textId="77777777" w:rsidR="00F658D4" w:rsidRPr="00F658D4" w:rsidRDefault="00F658D4" w:rsidP="00FA7BE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F658D4">
              <w:rPr>
                <w:rFonts w:asciiTheme="majorBidi" w:hAnsiTheme="majorBidi" w:cstheme="majorBidi"/>
                <w:szCs w:val="24"/>
              </w:rPr>
              <w:t>466.1</w:t>
            </w:r>
          </w:p>
        </w:tc>
        <w:tc>
          <w:tcPr>
            <w:tcW w:w="2160" w:type="dxa"/>
          </w:tcPr>
          <w:p w14:paraId="00CBA1AA" w14:textId="77777777" w:rsidR="00F658D4" w:rsidRPr="00F658D4" w:rsidRDefault="00F658D4" w:rsidP="00FA7BE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F658D4">
              <w:rPr>
                <w:rFonts w:asciiTheme="majorBidi" w:hAnsiTheme="majorBidi" w:cstheme="majorBidi"/>
                <w:szCs w:val="24"/>
              </w:rPr>
              <w:t>466.1</w:t>
            </w:r>
          </w:p>
        </w:tc>
        <w:tc>
          <w:tcPr>
            <w:tcW w:w="2160" w:type="dxa"/>
          </w:tcPr>
          <w:p w14:paraId="1F05AAC3" w14:textId="77777777" w:rsidR="00F658D4" w:rsidRPr="00F658D4" w:rsidRDefault="00F658D4" w:rsidP="00FA7BE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F658D4">
              <w:rPr>
                <w:rFonts w:asciiTheme="majorBidi" w:hAnsiTheme="majorBidi" w:cstheme="majorBidi"/>
                <w:szCs w:val="24"/>
              </w:rPr>
              <w:t>466.1</w:t>
            </w:r>
          </w:p>
        </w:tc>
      </w:tr>
      <w:tr w:rsidR="00F658D4" w:rsidRPr="00F658D4" w14:paraId="2439A43A" w14:textId="77777777" w:rsidTr="00FA7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A672B9" w14:textId="77777777" w:rsidR="00F658D4" w:rsidRPr="00F658D4" w:rsidRDefault="00F658D4" w:rsidP="00FA7BE0">
            <w:pPr>
              <w:rPr>
                <w:rFonts w:asciiTheme="majorBidi" w:hAnsiTheme="majorBidi"/>
                <w:szCs w:val="24"/>
              </w:rPr>
            </w:pPr>
            <w:r w:rsidRPr="00F658D4">
              <w:rPr>
                <w:rFonts w:asciiTheme="majorBidi" w:hAnsiTheme="majorBidi"/>
                <w:szCs w:val="24"/>
              </w:rPr>
              <w:t>2030</w:t>
            </w:r>
          </w:p>
        </w:tc>
        <w:tc>
          <w:tcPr>
            <w:tcW w:w="2160" w:type="dxa"/>
          </w:tcPr>
          <w:p w14:paraId="168BDC4E" w14:textId="77777777" w:rsidR="00F658D4" w:rsidRPr="00F658D4" w:rsidRDefault="00F658D4" w:rsidP="00FA7BE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Cs w:val="24"/>
              </w:rPr>
            </w:pPr>
            <w:r w:rsidRPr="00F658D4">
              <w:rPr>
                <w:rFonts w:asciiTheme="majorBidi" w:hAnsiTheme="majorBidi" w:cstheme="majorBidi"/>
                <w:szCs w:val="24"/>
              </w:rPr>
              <w:t>405.3</w:t>
            </w:r>
          </w:p>
        </w:tc>
        <w:tc>
          <w:tcPr>
            <w:tcW w:w="2160" w:type="dxa"/>
          </w:tcPr>
          <w:p w14:paraId="0E8F5F8D" w14:textId="77777777" w:rsidR="00F658D4" w:rsidRPr="00F658D4" w:rsidRDefault="00F658D4" w:rsidP="00FA7BE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Cs w:val="24"/>
              </w:rPr>
            </w:pPr>
            <w:r w:rsidRPr="00F658D4">
              <w:rPr>
                <w:rFonts w:asciiTheme="majorBidi" w:hAnsiTheme="majorBidi" w:cstheme="majorBidi"/>
                <w:szCs w:val="24"/>
              </w:rPr>
              <w:t>320.5</w:t>
            </w:r>
          </w:p>
        </w:tc>
        <w:tc>
          <w:tcPr>
            <w:tcW w:w="2160" w:type="dxa"/>
          </w:tcPr>
          <w:p w14:paraId="2D515514" w14:textId="77777777" w:rsidR="00F658D4" w:rsidRPr="00F658D4" w:rsidRDefault="00F658D4" w:rsidP="00FA7BE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Cs w:val="24"/>
              </w:rPr>
            </w:pPr>
            <w:r w:rsidRPr="00F658D4">
              <w:rPr>
                <w:rFonts w:asciiTheme="majorBidi" w:hAnsiTheme="majorBidi" w:cstheme="majorBidi"/>
                <w:szCs w:val="24"/>
              </w:rPr>
              <w:t>295.8</w:t>
            </w:r>
          </w:p>
        </w:tc>
      </w:tr>
      <w:tr w:rsidR="00F658D4" w:rsidRPr="00F658D4" w14:paraId="102EC353" w14:textId="77777777" w:rsidTr="00FA7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5E153E" w14:textId="77777777" w:rsidR="00F658D4" w:rsidRPr="00F658D4" w:rsidRDefault="00F658D4" w:rsidP="00FA7BE0">
            <w:pPr>
              <w:rPr>
                <w:rFonts w:asciiTheme="majorBidi" w:hAnsiTheme="majorBidi"/>
                <w:szCs w:val="24"/>
              </w:rPr>
            </w:pPr>
            <w:r w:rsidRPr="00F658D4">
              <w:rPr>
                <w:rFonts w:asciiTheme="majorBidi" w:hAnsiTheme="majorBidi"/>
                <w:szCs w:val="24"/>
              </w:rPr>
              <w:t>2035</w:t>
            </w:r>
          </w:p>
        </w:tc>
        <w:tc>
          <w:tcPr>
            <w:tcW w:w="2160" w:type="dxa"/>
          </w:tcPr>
          <w:p w14:paraId="7E61D2FF" w14:textId="77777777" w:rsidR="00F658D4" w:rsidRPr="00F658D4" w:rsidRDefault="00F658D4" w:rsidP="00FA7BE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F658D4">
              <w:rPr>
                <w:rFonts w:asciiTheme="majorBidi" w:hAnsiTheme="majorBidi" w:cstheme="majorBidi"/>
                <w:szCs w:val="24"/>
              </w:rPr>
              <w:t>392.7</w:t>
            </w:r>
          </w:p>
        </w:tc>
        <w:tc>
          <w:tcPr>
            <w:tcW w:w="2160" w:type="dxa"/>
          </w:tcPr>
          <w:p w14:paraId="09E87AEC" w14:textId="77777777" w:rsidR="00F658D4" w:rsidRPr="00F658D4" w:rsidRDefault="00F658D4" w:rsidP="00FA7BE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F658D4">
              <w:rPr>
                <w:rFonts w:asciiTheme="majorBidi" w:hAnsiTheme="majorBidi" w:cstheme="majorBidi"/>
                <w:szCs w:val="24"/>
              </w:rPr>
              <w:t>265.2</w:t>
            </w:r>
          </w:p>
        </w:tc>
        <w:tc>
          <w:tcPr>
            <w:tcW w:w="2160" w:type="dxa"/>
          </w:tcPr>
          <w:p w14:paraId="36C073FF" w14:textId="77777777" w:rsidR="00F658D4" w:rsidRPr="00F658D4" w:rsidRDefault="00F658D4" w:rsidP="00FA7BE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F658D4">
              <w:rPr>
                <w:rFonts w:asciiTheme="majorBidi" w:hAnsiTheme="majorBidi" w:cstheme="majorBidi"/>
                <w:szCs w:val="24"/>
              </w:rPr>
              <w:t>230.4</w:t>
            </w:r>
          </w:p>
        </w:tc>
      </w:tr>
      <w:tr w:rsidR="00F658D4" w:rsidRPr="00F658D4" w14:paraId="1A6EBB1F" w14:textId="77777777" w:rsidTr="00FA7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07F7C7" w14:textId="77777777" w:rsidR="00F658D4" w:rsidRPr="00F658D4" w:rsidRDefault="00F658D4" w:rsidP="00FA7BE0">
            <w:pPr>
              <w:rPr>
                <w:rFonts w:asciiTheme="majorBidi" w:hAnsiTheme="majorBidi"/>
                <w:szCs w:val="24"/>
              </w:rPr>
            </w:pPr>
            <w:r w:rsidRPr="00F658D4">
              <w:rPr>
                <w:rFonts w:asciiTheme="majorBidi" w:hAnsiTheme="majorBidi"/>
                <w:szCs w:val="24"/>
              </w:rPr>
              <w:t>2040</w:t>
            </w:r>
          </w:p>
        </w:tc>
        <w:tc>
          <w:tcPr>
            <w:tcW w:w="2160" w:type="dxa"/>
          </w:tcPr>
          <w:p w14:paraId="65B98913" w14:textId="77777777" w:rsidR="00F658D4" w:rsidRPr="00F658D4" w:rsidRDefault="00F658D4" w:rsidP="00FA7BE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Cs w:val="24"/>
              </w:rPr>
            </w:pPr>
            <w:r w:rsidRPr="00F658D4">
              <w:rPr>
                <w:rFonts w:asciiTheme="majorBidi" w:hAnsiTheme="majorBidi" w:cstheme="majorBidi"/>
                <w:szCs w:val="24"/>
              </w:rPr>
              <w:t>380.1</w:t>
            </w:r>
          </w:p>
        </w:tc>
        <w:tc>
          <w:tcPr>
            <w:tcW w:w="2160" w:type="dxa"/>
          </w:tcPr>
          <w:p w14:paraId="19CC7A71" w14:textId="77777777" w:rsidR="00F658D4" w:rsidRPr="00F658D4" w:rsidRDefault="00F658D4" w:rsidP="00FA7BE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Cs w:val="24"/>
              </w:rPr>
            </w:pPr>
            <w:r w:rsidRPr="00F658D4">
              <w:rPr>
                <w:rFonts w:asciiTheme="majorBidi" w:hAnsiTheme="majorBidi" w:cstheme="majorBidi"/>
                <w:szCs w:val="24"/>
              </w:rPr>
              <w:t>218.4</w:t>
            </w:r>
          </w:p>
        </w:tc>
        <w:tc>
          <w:tcPr>
            <w:tcW w:w="2160" w:type="dxa"/>
          </w:tcPr>
          <w:p w14:paraId="5482010A" w14:textId="77777777" w:rsidR="00F658D4" w:rsidRPr="00F658D4" w:rsidRDefault="00F658D4" w:rsidP="00FA7BE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Cs w:val="24"/>
              </w:rPr>
            </w:pPr>
            <w:r w:rsidRPr="00F658D4">
              <w:rPr>
                <w:rFonts w:asciiTheme="majorBidi" w:hAnsiTheme="majorBidi" w:cstheme="majorBidi"/>
                <w:szCs w:val="24"/>
              </w:rPr>
              <w:t>175.6</w:t>
            </w:r>
          </w:p>
        </w:tc>
      </w:tr>
    </w:tbl>
    <w:p w14:paraId="250D499D" w14:textId="77777777" w:rsidR="00F658D4" w:rsidRPr="00F658D4" w:rsidRDefault="00F658D4" w:rsidP="00F658D4">
      <w:pPr>
        <w:rPr>
          <w:rFonts w:asciiTheme="majorBidi" w:hAnsiTheme="majorBidi" w:cstheme="majorBidi"/>
          <w:szCs w:val="24"/>
        </w:rPr>
      </w:pPr>
    </w:p>
    <w:tbl>
      <w:tblPr>
        <w:tblStyle w:val="LightGrid-Accent1"/>
        <w:tblW w:w="0" w:type="auto"/>
        <w:tblLook w:val="04A0" w:firstRow="1" w:lastRow="0" w:firstColumn="1" w:lastColumn="0" w:noHBand="0" w:noVBand="1"/>
      </w:tblPr>
      <w:tblGrid>
        <w:gridCol w:w="2160"/>
        <w:gridCol w:w="2160"/>
        <w:gridCol w:w="2160"/>
        <w:gridCol w:w="2160"/>
      </w:tblGrid>
      <w:tr w:rsidR="00F658D4" w:rsidRPr="00F658D4" w14:paraId="3CC8B3A4" w14:textId="77777777" w:rsidTr="00FA7B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CDCC1A" w14:textId="77777777" w:rsidR="00F658D4" w:rsidRPr="00F658D4" w:rsidRDefault="00F658D4" w:rsidP="00FA7BE0">
            <w:pPr>
              <w:rPr>
                <w:rFonts w:asciiTheme="majorBidi" w:hAnsiTheme="majorBidi"/>
                <w:szCs w:val="24"/>
              </w:rPr>
            </w:pPr>
            <w:r w:rsidRPr="00F658D4">
              <w:rPr>
                <w:rFonts w:asciiTheme="majorBidi" w:hAnsiTheme="majorBidi"/>
                <w:szCs w:val="24"/>
              </w:rPr>
              <w:t>Period</w:t>
            </w:r>
          </w:p>
        </w:tc>
        <w:tc>
          <w:tcPr>
            <w:tcW w:w="2160" w:type="dxa"/>
          </w:tcPr>
          <w:p w14:paraId="371BC089" w14:textId="77777777" w:rsidR="00F658D4" w:rsidRPr="00F658D4" w:rsidRDefault="00F658D4" w:rsidP="00FA7BE0">
            <w:pPr>
              <w:cnfStyle w:val="100000000000" w:firstRow="1" w:lastRow="0" w:firstColumn="0" w:lastColumn="0" w:oddVBand="0" w:evenVBand="0" w:oddHBand="0" w:evenHBand="0" w:firstRowFirstColumn="0" w:firstRowLastColumn="0" w:lastRowFirstColumn="0" w:lastRowLastColumn="0"/>
              <w:rPr>
                <w:rFonts w:asciiTheme="majorBidi" w:hAnsiTheme="majorBidi"/>
                <w:szCs w:val="24"/>
              </w:rPr>
            </w:pPr>
            <w:r w:rsidRPr="00F658D4">
              <w:rPr>
                <w:rFonts w:asciiTheme="majorBidi" w:hAnsiTheme="majorBidi"/>
                <w:szCs w:val="24"/>
              </w:rPr>
              <w:t>BAU Reduction</w:t>
            </w:r>
          </w:p>
        </w:tc>
        <w:tc>
          <w:tcPr>
            <w:tcW w:w="2160" w:type="dxa"/>
          </w:tcPr>
          <w:p w14:paraId="3EB61F5C" w14:textId="77777777" w:rsidR="00F658D4" w:rsidRPr="00F658D4" w:rsidRDefault="00F658D4" w:rsidP="00FA7BE0">
            <w:pPr>
              <w:cnfStyle w:val="100000000000" w:firstRow="1" w:lastRow="0" w:firstColumn="0" w:lastColumn="0" w:oddVBand="0" w:evenVBand="0" w:oddHBand="0" w:evenHBand="0" w:firstRowFirstColumn="0" w:firstRowLastColumn="0" w:lastRowFirstColumn="0" w:lastRowLastColumn="0"/>
              <w:rPr>
                <w:rFonts w:asciiTheme="majorBidi" w:hAnsiTheme="majorBidi"/>
                <w:szCs w:val="24"/>
              </w:rPr>
            </w:pPr>
            <w:r w:rsidRPr="00F658D4">
              <w:rPr>
                <w:rFonts w:asciiTheme="majorBidi" w:hAnsiTheme="majorBidi"/>
                <w:szCs w:val="24"/>
              </w:rPr>
              <w:t>ETS1 Reduction</w:t>
            </w:r>
          </w:p>
        </w:tc>
        <w:tc>
          <w:tcPr>
            <w:tcW w:w="2160" w:type="dxa"/>
          </w:tcPr>
          <w:p w14:paraId="6BDDF339" w14:textId="77777777" w:rsidR="00F658D4" w:rsidRPr="00F658D4" w:rsidRDefault="00F658D4" w:rsidP="00FA7BE0">
            <w:pPr>
              <w:cnfStyle w:val="100000000000" w:firstRow="1" w:lastRow="0" w:firstColumn="0" w:lastColumn="0" w:oddVBand="0" w:evenVBand="0" w:oddHBand="0" w:evenHBand="0" w:firstRowFirstColumn="0" w:firstRowLastColumn="0" w:lastRowFirstColumn="0" w:lastRowLastColumn="0"/>
              <w:rPr>
                <w:rFonts w:asciiTheme="majorBidi" w:hAnsiTheme="majorBidi"/>
                <w:szCs w:val="24"/>
              </w:rPr>
            </w:pPr>
            <w:r w:rsidRPr="00F658D4">
              <w:rPr>
                <w:rFonts w:asciiTheme="majorBidi" w:hAnsiTheme="majorBidi"/>
                <w:szCs w:val="24"/>
              </w:rPr>
              <w:t>ETS2 Reduction</w:t>
            </w:r>
          </w:p>
        </w:tc>
      </w:tr>
      <w:tr w:rsidR="00F658D4" w:rsidRPr="00F658D4" w14:paraId="149A5A89" w14:textId="77777777" w:rsidTr="00FA7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A05DA3" w14:textId="77777777" w:rsidR="00F658D4" w:rsidRPr="00F658D4" w:rsidRDefault="00F658D4" w:rsidP="00FA7BE0">
            <w:pPr>
              <w:rPr>
                <w:rFonts w:asciiTheme="majorBidi" w:hAnsiTheme="majorBidi"/>
                <w:szCs w:val="24"/>
              </w:rPr>
            </w:pPr>
            <w:r w:rsidRPr="00F658D4">
              <w:rPr>
                <w:rFonts w:asciiTheme="majorBidi" w:hAnsiTheme="majorBidi"/>
                <w:szCs w:val="24"/>
              </w:rPr>
              <w:t>2021-2030</w:t>
            </w:r>
          </w:p>
        </w:tc>
        <w:tc>
          <w:tcPr>
            <w:tcW w:w="2160" w:type="dxa"/>
          </w:tcPr>
          <w:p w14:paraId="753525DB" w14:textId="77777777" w:rsidR="00F658D4" w:rsidRPr="00F658D4" w:rsidRDefault="00F658D4" w:rsidP="00FA7BE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F658D4">
              <w:rPr>
                <w:rFonts w:asciiTheme="majorBidi" w:hAnsiTheme="majorBidi" w:cstheme="majorBidi"/>
                <w:szCs w:val="24"/>
              </w:rPr>
              <w:t>-13.0%</w:t>
            </w:r>
          </w:p>
        </w:tc>
        <w:tc>
          <w:tcPr>
            <w:tcW w:w="2160" w:type="dxa"/>
          </w:tcPr>
          <w:p w14:paraId="12FA3547" w14:textId="77777777" w:rsidR="00F658D4" w:rsidRPr="00F658D4" w:rsidRDefault="00F658D4" w:rsidP="00FA7BE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F658D4">
              <w:rPr>
                <w:rFonts w:asciiTheme="majorBidi" w:hAnsiTheme="majorBidi" w:cstheme="majorBidi"/>
                <w:szCs w:val="24"/>
              </w:rPr>
              <w:t>-31.2%</w:t>
            </w:r>
          </w:p>
        </w:tc>
        <w:tc>
          <w:tcPr>
            <w:tcW w:w="2160" w:type="dxa"/>
          </w:tcPr>
          <w:p w14:paraId="23DA9BDE" w14:textId="77777777" w:rsidR="00F658D4" w:rsidRPr="00F658D4" w:rsidRDefault="00F658D4" w:rsidP="00FA7BE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F658D4">
              <w:rPr>
                <w:rFonts w:asciiTheme="majorBidi" w:hAnsiTheme="majorBidi" w:cstheme="majorBidi"/>
                <w:szCs w:val="24"/>
              </w:rPr>
              <w:t>-36.5%</w:t>
            </w:r>
          </w:p>
        </w:tc>
      </w:tr>
      <w:tr w:rsidR="00F658D4" w:rsidRPr="00F658D4" w14:paraId="755A3A82" w14:textId="77777777" w:rsidTr="00FA7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8FE6CE" w14:textId="77777777" w:rsidR="00F658D4" w:rsidRPr="00F658D4" w:rsidRDefault="00F658D4" w:rsidP="00FA7BE0">
            <w:pPr>
              <w:rPr>
                <w:rFonts w:asciiTheme="majorBidi" w:hAnsiTheme="majorBidi"/>
                <w:szCs w:val="24"/>
              </w:rPr>
            </w:pPr>
            <w:r w:rsidRPr="00F658D4">
              <w:rPr>
                <w:rFonts w:asciiTheme="majorBidi" w:hAnsiTheme="majorBidi"/>
                <w:szCs w:val="24"/>
              </w:rPr>
              <w:t>2021-2035</w:t>
            </w:r>
          </w:p>
        </w:tc>
        <w:tc>
          <w:tcPr>
            <w:tcW w:w="2160" w:type="dxa"/>
          </w:tcPr>
          <w:p w14:paraId="2B9626AF" w14:textId="77777777" w:rsidR="00F658D4" w:rsidRPr="00F658D4" w:rsidRDefault="00F658D4" w:rsidP="00FA7BE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Cs w:val="24"/>
              </w:rPr>
            </w:pPr>
            <w:r w:rsidRPr="00F658D4">
              <w:rPr>
                <w:rFonts w:asciiTheme="majorBidi" w:hAnsiTheme="majorBidi" w:cstheme="majorBidi"/>
                <w:szCs w:val="24"/>
              </w:rPr>
              <w:t>-15.7%</w:t>
            </w:r>
          </w:p>
        </w:tc>
        <w:tc>
          <w:tcPr>
            <w:tcW w:w="2160" w:type="dxa"/>
          </w:tcPr>
          <w:p w14:paraId="3A56C3BE" w14:textId="77777777" w:rsidR="00F658D4" w:rsidRPr="00F658D4" w:rsidRDefault="00F658D4" w:rsidP="00FA7BE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Cs w:val="24"/>
              </w:rPr>
            </w:pPr>
            <w:r w:rsidRPr="00F658D4">
              <w:rPr>
                <w:rFonts w:asciiTheme="majorBidi" w:hAnsiTheme="majorBidi" w:cstheme="majorBidi"/>
                <w:szCs w:val="24"/>
              </w:rPr>
              <w:t>-43.1%</w:t>
            </w:r>
          </w:p>
        </w:tc>
        <w:tc>
          <w:tcPr>
            <w:tcW w:w="2160" w:type="dxa"/>
          </w:tcPr>
          <w:p w14:paraId="2DA02FE5" w14:textId="77777777" w:rsidR="00F658D4" w:rsidRPr="00F658D4" w:rsidRDefault="00F658D4" w:rsidP="00FA7BE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Cs w:val="24"/>
              </w:rPr>
            </w:pPr>
            <w:r w:rsidRPr="00F658D4">
              <w:rPr>
                <w:rFonts w:asciiTheme="majorBidi" w:hAnsiTheme="majorBidi" w:cstheme="majorBidi"/>
                <w:szCs w:val="24"/>
              </w:rPr>
              <w:t>-50.6%</w:t>
            </w:r>
          </w:p>
        </w:tc>
      </w:tr>
      <w:tr w:rsidR="00F658D4" w:rsidRPr="00F658D4" w14:paraId="316B4A03" w14:textId="77777777" w:rsidTr="00FA7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8370A9" w14:textId="77777777" w:rsidR="00F658D4" w:rsidRPr="00F658D4" w:rsidRDefault="00F658D4" w:rsidP="00FA7BE0">
            <w:pPr>
              <w:rPr>
                <w:rFonts w:asciiTheme="majorBidi" w:hAnsiTheme="majorBidi"/>
                <w:szCs w:val="24"/>
              </w:rPr>
            </w:pPr>
            <w:r w:rsidRPr="00F658D4">
              <w:rPr>
                <w:rFonts w:asciiTheme="majorBidi" w:hAnsiTheme="majorBidi"/>
                <w:szCs w:val="24"/>
              </w:rPr>
              <w:t>2021-2040</w:t>
            </w:r>
          </w:p>
        </w:tc>
        <w:tc>
          <w:tcPr>
            <w:tcW w:w="2160" w:type="dxa"/>
          </w:tcPr>
          <w:p w14:paraId="4A85B85E" w14:textId="77777777" w:rsidR="00F658D4" w:rsidRPr="00F658D4" w:rsidRDefault="00F658D4" w:rsidP="00FA7BE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F658D4">
              <w:rPr>
                <w:rFonts w:asciiTheme="majorBidi" w:hAnsiTheme="majorBidi" w:cstheme="majorBidi"/>
                <w:szCs w:val="24"/>
              </w:rPr>
              <w:t>-18.4%</w:t>
            </w:r>
          </w:p>
        </w:tc>
        <w:tc>
          <w:tcPr>
            <w:tcW w:w="2160" w:type="dxa"/>
          </w:tcPr>
          <w:p w14:paraId="06FED81A" w14:textId="77777777" w:rsidR="00F658D4" w:rsidRPr="00F658D4" w:rsidRDefault="00F658D4" w:rsidP="00FA7BE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F658D4">
              <w:rPr>
                <w:rFonts w:asciiTheme="majorBidi" w:hAnsiTheme="majorBidi" w:cstheme="majorBidi"/>
                <w:szCs w:val="24"/>
              </w:rPr>
              <w:t>-53.1%</w:t>
            </w:r>
          </w:p>
        </w:tc>
        <w:tc>
          <w:tcPr>
            <w:tcW w:w="2160" w:type="dxa"/>
          </w:tcPr>
          <w:p w14:paraId="79B50AC6" w14:textId="77777777" w:rsidR="00F658D4" w:rsidRPr="00F658D4" w:rsidRDefault="00F658D4" w:rsidP="00FA7BE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F658D4">
              <w:rPr>
                <w:rFonts w:asciiTheme="majorBidi" w:hAnsiTheme="majorBidi" w:cstheme="majorBidi"/>
                <w:szCs w:val="24"/>
              </w:rPr>
              <w:t>-62.3%</w:t>
            </w:r>
          </w:p>
        </w:tc>
      </w:tr>
    </w:tbl>
    <w:p w14:paraId="7C032722" w14:textId="77777777" w:rsidR="00F658D4" w:rsidRPr="00F658D4" w:rsidRDefault="00F658D4" w:rsidP="00F658D4">
      <w:pPr>
        <w:rPr>
          <w:rFonts w:asciiTheme="majorBidi" w:hAnsiTheme="majorBidi" w:cstheme="majorBidi"/>
          <w:szCs w:val="24"/>
        </w:rPr>
      </w:pPr>
    </w:p>
    <w:p w14:paraId="20013F96" w14:textId="77777777" w:rsidR="00F658D4" w:rsidRPr="00F658D4" w:rsidRDefault="00F658D4" w:rsidP="00F658D4">
      <w:pPr>
        <w:rPr>
          <w:rFonts w:asciiTheme="majorBidi" w:hAnsiTheme="majorBidi" w:cstheme="majorBidi"/>
          <w:szCs w:val="24"/>
        </w:rPr>
      </w:pPr>
      <w:r w:rsidRPr="00F658D4">
        <w:rPr>
          <w:rFonts w:asciiTheme="majorBidi" w:hAnsiTheme="majorBidi" w:cstheme="majorBidi"/>
          <w:b/>
          <w:szCs w:val="24"/>
        </w:rPr>
        <w:t>Key Findings:</w:t>
      </w:r>
    </w:p>
    <w:p w14:paraId="6AF11742" w14:textId="77777777" w:rsidR="00F658D4" w:rsidRPr="00F658D4" w:rsidRDefault="00F658D4" w:rsidP="00783E66">
      <w:pPr>
        <w:pStyle w:val="ListBullet"/>
        <w:numPr>
          <w:ilvl w:val="0"/>
          <w:numId w:val="33"/>
        </w:numPr>
        <w:rPr>
          <w:rFonts w:asciiTheme="majorBidi" w:hAnsiTheme="majorBidi" w:cstheme="majorBidi"/>
          <w:szCs w:val="24"/>
        </w:rPr>
      </w:pPr>
      <w:r w:rsidRPr="00F658D4">
        <w:rPr>
          <w:rFonts w:asciiTheme="majorBidi" w:hAnsiTheme="majorBidi" w:cstheme="majorBidi"/>
          <w:szCs w:val="24"/>
        </w:rPr>
        <w:t>ETS1 achieves 31% reduction by 2030, approaching but slightly short of EU's 55% target for the EU as a whole. Italy's effort-sharing target (~43% for non-ETS sectors) is within reach.</w:t>
      </w:r>
    </w:p>
    <w:p w14:paraId="3E1640E7" w14:textId="77777777" w:rsidR="00F658D4" w:rsidRPr="00F658D4" w:rsidRDefault="00F658D4" w:rsidP="00783E66">
      <w:pPr>
        <w:pStyle w:val="ListBullet"/>
        <w:numPr>
          <w:ilvl w:val="0"/>
          <w:numId w:val="33"/>
        </w:numPr>
        <w:rPr>
          <w:rFonts w:asciiTheme="majorBidi" w:hAnsiTheme="majorBidi" w:cstheme="majorBidi"/>
          <w:szCs w:val="24"/>
        </w:rPr>
      </w:pPr>
      <w:r w:rsidRPr="00F658D4">
        <w:rPr>
          <w:rFonts w:asciiTheme="majorBidi" w:hAnsiTheme="majorBidi" w:cstheme="majorBidi"/>
          <w:szCs w:val="24"/>
        </w:rPr>
        <w:t>ETS2 delivers 36.5% reduction by 2030 and 62% by 2040, demonstrating that ambitious carbon pricing can drive deep decarbonization.</w:t>
      </w:r>
    </w:p>
    <w:p w14:paraId="76C4B68E" w14:textId="77777777" w:rsidR="00F658D4" w:rsidRPr="00F658D4" w:rsidRDefault="00F658D4" w:rsidP="00783E66">
      <w:pPr>
        <w:pStyle w:val="ListBullet"/>
        <w:numPr>
          <w:ilvl w:val="0"/>
          <w:numId w:val="33"/>
        </w:numPr>
        <w:rPr>
          <w:rFonts w:asciiTheme="majorBidi" w:hAnsiTheme="majorBidi" w:cstheme="majorBidi"/>
          <w:szCs w:val="24"/>
        </w:rPr>
      </w:pPr>
      <w:r w:rsidRPr="00F658D4">
        <w:rPr>
          <w:rFonts w:asciiTheme="majorBidi" w:hAnsiTheme="majorBidi" w:cstheme="majorBidi"/>
          <w:szCs w:val="24"/>
        </w:rPr>
        <w:t>BAU emissions decline only 18% by 2040, insufficient to meet climate goals. This highlights the need for explicit climate policy beyond autonomous efficiency improvements.</w:t>
      </w:r>
    </w:p>
    <w:p w14:paraId="3667AD34" w14:textId="77777777" w:rsidR="00DC7090" w:rsidRDefault="00F658D4" w:rsidP="00DC7090">
      <w:pPr>
        <w:pStyle w:val="ListBullet"/>
        <w:numPr>
          <w:ilvl w:val="0"/>
          <w:numId w:val="33"/>
        </w:numPr>
        <w:rPr>
          <w:rFonts w:asciiTheme="majorBidi" w:hAnsiTheme="majorBidi" w:cstheme="majorBidi"/>
          <w:szCs w:val="24"/>
        </w:rPr>
      </w:pPr>
      <w:r w:rsidRPr="00F658D4">
        <w:rPr>
          <w:rFonts w:asciiTheme="majorBidi" w:hAnsiTheme="majorBidi" w:cstheme="majorBidi"/>
          <w:szCs w:val="24"/>
        </w:rPr>
        <w:t>Non-linear emission reductions: Larger reductions occur in later years as carbon prices rise and clean technologies mature, consistent with learning curve effects.</w:t>
      </w:r>
    </w:p>
    <w:p w14:paraId="532F4DFF" w14:textId="77777777" w:rsidR="00DC7090" w:rsidRDefault="00DC7090" w:rsidP="00DC7090">
      <w:pPr>
        <w:pStyle w:val="ListBullet"/>
        <w:numPr>
          <w:ilvl w:val="0"/>
          <w:numId w:val="0"/>
        </w:numPr>
        <w:ind w:left="360"/>
        <w:rPr>
          <w:rFonts w:asciiTheme="majorBidi" w:hAnsiTheme="majorBidi" w:cstheme="majorBidi"/>
          <w:szCs w:val="24"/>
        </w:rPr>
      </w:pPr>
    </w:p>
    <w:p w14:paraId="08BFA6FE" w14:textId="58D02413" w:rsidR="00DC7090" w:rsidRPr="00DC7090" w:rsidRDefault="00DC7090" w:rsidP="00DC7090">
      <w:pPr>
        <w:pStyle w:val="ListBullet"/>
        <w:numPr>
          <w:ilvl w:val="0"/>
          <w:numId w:val="0"/>
        </w:numPr>
        <w:rPr>
          <w:rFonts w:asciiTheme="majorBidi" w:hAnsiTheme="majorBidi" w:cstheme="majorBidi"/>
          <w:b/>
          <w:bCs/>
          <w:szCs w:val="24"/>
        </w:rPr>
      </w:pPr>
      <w:r w:rsidRPr="00DC7090">
        <w:rPr>
          <w:rFonts w:asciiTheme="majorBidi" w:hAnsiTheme="majorBidi"/>
          <w:b/>
          <w:bCs/>
          <w:szCs w:val="24"/>
        </w:rPr>
        <w:t>Macroeconomic Impacts</w:t>
      </w:r>
    </w:p>
    <w:p w14:paraId="3A911010" w14:textId="77777777" w:rsidR="00DC7090" w:rsidRPr="00DC7090" w:rsidRDefault="00DC7090" w:rsidP="00DC7090">
      <w:pPr>
        <w:rPr>
          <w:rFonts w:asciiTheme="majorBidi" w:hAnsiTheme="majorBidi" w:cstheme="majorBidi"/>
          <w:szCs w:val="24"/>
        </w:rPr>
      </w:pPr>
      <w:r w:rsidRPr="00DC7090">
        <w:rPr>
          <w:rFonts w:asciiTheme="majorBidi" w:hAnsiTheme="majorBidi" w:cstheme="majorBidi"/>
          <w:szCs w:val="24"/>
        </w:rPr>
        <w:t>GDP impacts relative to BAU are modest but not negligible, reflecting economy-wide adjustment costs:</w:t>
      </w:r>
    </w:p>
    <w:tbl>
      <w:tblPr>
        <w:tblStyle w:val="LightGrid-Accent1"/>
        <w:tblW w:w="0" w:type="auto"/>
        <w:tblLook w:val="04A0" w:firstRow="1" w:lastRow="0" w:firstColumn="1" w:lastColumn="0" w:noHBand="0" w:noVBand="1"/>
      </w:tblPr>
      <w:tblGrid>
        <w:gridCol w:w="2160"/>
        <w:gridCol w:w="2160"/>
        <w:gridCol w:w="2160"/>
        <w:gridCol w:w="2160"/>
      </w:tblGrid>
      <w:tr w:rsidR="00DC7090" w:rsidRPr="00DC7090" w14:paraId="5C3B3618" w14:textId="77777777" w:rsidTr="00FA7B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220276" w14:textId="77777777" w:rsidR="00DC7090" w:rsidRPr="00DC7090" w:rsidRDefault="00DC7090" w:rsidP="00FA7BE0">
            <w:pPr>
              <w:rPr>
                <w:rFonts w:asciiTheme="majorBidi" w:hAnsiTheme="majorBidi"/>
                <w:szCs w:val="24"/>
              </w:rPr>
            </w:pPr>
            <w:r w:rsidRPr="00DC7090">
              <w:rPr>
                <w:rFonts w:asciiTheme="majorBidi" w:hAnsiTheme="majorBidi"/>
                <w:szCs w:val="24"/>
              </w:rPr>
              <w:lastRenderedPageBreak/>
              <w:t>Year</w:t>
            </w:r>
          </w:p>
        </w:tc>
        <w:tc>
          <w:tcPr>
            <w:tcW w:w="2160" w:type="dxa"/>
          </w:tcPr>
          <w:p w14:paraId="35C5621A" w14:textId="77777777" w:rsidR="00DC7090" w:rsidRPr="00DC7090" w:rsidRDefault="00DC7090" w:rsidP="00FA7BE0">
            <w:pPr>
              <w:cnfStyle w:val="100000000000" w:firstRow="1" w:lastRow="0" w:firstColumn="0" w:lastColumn="0" w:oddVBand="0" w:evenVBand="0" w:oddHBand="0" w:evenHBand="0" w:firstRowFirstColumn="0" w:firstRowLastColumn="0" w:lastRowFirstColumn="0" w:lastRowLastColumn="0"/>
              <w:rPr>
                <w:rFonts w:asciiTheme="majorBidi" w:hAnsiTheme="majorBidi"/>
                <w:szCs w:val="24"/>
              </w:rPr>
            </w:pPr>
            <w:r w:rsidRPr="00DC7090">
              <w:rPr>
                <w:rFonts w:asciiTheme="majorBidi" w:hAnsiTheme="majorBidi"/>
                <w:szCs w:val="24"/>
              </w:rPr>
              <w:t>BAU (€ billions)</w:t>
            </w:r>
          </w:p>
        </w:tc>
        <w:tc>
          <w:tcPr>
            <w:tcW w:w="2160" w:type="dxa"/>
          </w:tcPr>
          <w:p w14:paraId="7051553C" w14:textId="77777777" w:rsidR="00DC7090" w:rsidRPr="00DC7090" w:rsidRDefault="00DC7090" w:rsidP="00FA7BE0">
            <w:pPr>
              <w:cnfStyle w:val="100000000000" w:firstRow="1" w:lastRow="0" w:firstColumn="0" w:lastColumn="0" w:oddVBand="0" w:evenVBand="0" w:oddHBand="0" w:evenHBand="0" w:firstRowFirstColumn="0" w:firstRowLastColumn="0" w:lastRowFirstColumn="0" w:lastRowLastColumn="0"/>
              <w:rPr>
                <w:rFonts w:asciiTheme="majorBidi" w:hAnsiTheme="majorBidi"/>
                <w:szCs w:val="24"/>
              </w:rPr>
            </w:pPr>
            <w:r w:rsidRPr="00DC7090">
              <w:rPr>
                <w:rFonts w:asciiTheme="majorBidi" w:hAnsiTheme="majorBidi"/>
                <w:szCs w:val="24"/>
              </w:rPr>
              <w:t>ETS1 (% vs BAU)</w:t>
            </w:r>
          </w:p>
        </w:tc>
        <w:tc>
          <w:tcPr>
            <w:tcW w:w="2160" w:type="dxa"/>
          </w:tcPr>
          <w:p w14:paraId="7B3FDE2C" w14:textId="77777777" w:rsidR="00DC7090" w:rsidRPr="00DC7090" w:rsidRDefault="00DC7090" w:rsidP="00FA7BE0">
            <w:pPr>
              <w:cnfStyle w:val="100000000000" w:firstRow="1" w:lastRow="0" w:firstColumn="0" w:lastColumn="0" w:oddVBand="0" w:evenVBand="0" w:oddHBand="0" w:evenHBand="0" w:firstRowFirstColumn="0" w:firstRowLastColumn="0" w:lastRowFirstColumn="0" w:lastRowLastColumn="0"/>
              <w:rPr>
                <w:rFonts w:asciiTheme="majorBidi" w:hAnsiTheme="majorBidi"/>
                <w:szCs w:val="24"/>
              </w:rPr>
            </w:pPr>
            <w:r w:rsidRPr="00DC7090">
              <w:rPr>
                <w:rFonts w:asciiTheme="majorBidi" w:hAnsiTheme="majorBidi"/>
                <w:szCs w:val="24"/>
              </w:rPr>
              <w:t>ETS2 (% vs BAU)</w:t>
            </w:r>
          </w:p>
        </w:tc>
      </w:tr>
      <w:tr w:rsidR="00DC7090" w:rsidRPr="00DC7090" w14:paraId="31FC64EB" w14:textId="77777777" w:rsidTr="00FA7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971726" w14:textId="77777777" w:rsidR="00DC7090" w:rsidRPr="00DC7090" w:rsidRDefault="00DC7090" w:rsidP="00FA7BE0">
            <w:pPr>
              <w:rPr>
                <w:rFonts w:asciiTheme="majorBidi" w:hAnsiTheme="majorBidi"/>
                <w:szCs w:val="24"/>
              </w:rPr>
            </w:pPr>
            <w:r w:rsidRPr="00DC7090">
              <w:rPr>
                <w:rFonts w:asciiTheme="majorBidi" w:hAnsiTheme="majorBidi"/>
                <w:szCs w:val="24"/>
              </w:rPr>
              <w:t>2021</w:t>
            </w:r>
          </w:p>
        </w:tc>
        <w:tc>
          <w:tcPr>
            <w:tcW w:w="2160" w:type="dxa"/>
          </w:tcPr>
          <w:p w14:paraId="4D60043D" w14:textId="77777777" w:rsidR="00DC7090" w:rsidRPr="00DC7090" w:rsidRDefault="00DC7090" w:rsidP="00FA7BE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DC7090">
              <w:rPr>
                <w:rFonts w:asciiTheme="majorBidi" w:hAnsiTheme="majorBidi" w:cstheme="majorBidi"/>
                <w:szCs w:val="24"/>
              </w:rPr>
              <w:t>1,782</w:t>
            </w:r>
          </w:p>
        </w:tc>
        <w:tc>
          <w:tcPr>
            <w:tcW w:w="2160" w:type="dxa"/>
          </w:tcPr>
          <w:p w14:paraId="778F8687" w14:textId="77777777" w:rsidR="00DC7090" w:rsidRPr="00DC7090" w:rsidRDefault="00DC7090" w:rsidP="00FA7BE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DC7090">
              <w:rPr>
                <w:rFonts w:asciiTheme="majorBidi" w:hAnsiTheme="majorBidi" w:cstheme="majorBidi"/>
                <w:szCs w:val="24"/>
              </w:rPr>
              <w:t>0.0%</w:t>
            </w:r>
          </w:p>
        </w:tc>
        <w:tc>
          <w:tcPr>
            <w:tcW w:w="2160" w:type="dxa"/>
          </w:tcPr>
          <w:p w14:paraId="5828D83C" w14:textId="77777777" w:rsidR="00DC7090" w:rsidRPr="00DC7090" w:rsidRDefault="00DC7090" w:rsidP="00FA7BE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DC7090">
              <w:rPr>
                <w:rFonts w:asciiTheme="majorBidi" w:hAnsiTheme="majorBidi" w:cstheme="majorBidi"/>
                <w:szCs w:val="24"/>
              </w:rPr>
              <w:t>0.0%</w:t>
            </w:r>
          </w:p>
        </w:tc>
      </w:tr>
      <w:tr w:rsidR="00DC7090" w:rsidRPr="00DC7090" w14:paraId="43A99C56" w14:textId="77777777" w:rsidTr="00FA7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B84D29" w14:textId="77777777" w:rsidR="00DC7090" w:rsidRPr="00DC7090" w:rsidRDefault="00DC7090" w:rsidP="00FA7BE0">
            <w:pPr>
              <w:rPr>
                <w:rFonts w:asciiTheme="majorBidi" w:hAnsiTheme="majorBidi"/>
                <w:szCs w:val="24"/>
              </w:rPr>
            </w:pPr>
            <w:r w:rsidRPr="00DC7090">
              <w:rPr>
                <w:rFonts w:asciiTheme="majorBidi" w:hAnsiTheme="majorBidi"/>
                <w:szCs w:val="24"/>
              </w:rPr>
              <w:t>2030</w:t>
            </w:r>
          </w:p>
        </w:tc>
        <w:tc>
          <w:tcPr>
            <w:tcW w:w="2160" w:type="dxa"/>
          </w:tcPr>
          <w:p w14:paraId="4B74E3CD" w14:textId="77777777" w:rsidR="00DC7090" w:rsidRPr="00DC7090" w:rsidRDefault="00DC7090" w:rsidP="00FA7BE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Cs w:val="24"/>
              </w:rPr>
            </w:pPr>
            <w:r w:rsidRPr="00DC7090">
              <w:rPr>
                <w:rFonts w:asciiTheme="majorBidi" w:hAnsiTheme="majorBidi" w:cstheme="majorBidi"/>
                <w:szCs w:val="24"/>
              </w:rPr>
              <w:t>1,965</w:t>
            </w:r>
          </w:p>
        </w:tc>
        <w:tc>
          <w:tcPr>
            <w:tcW w:w="2160" w:type="dxa"/>
          </w:tcPr>
          <w:p w14:paraId="5E541B5E" w14:textId="77777777" w:rsidR="00DC7090" w:rsidRPr="00DC7090" w:rsidRDefault="00DC7090" w:rsidP="00FA7BE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Cs w:val="24"/>
              </w:rPr>
            </w:pPr>
            <w:r w:rsidRPr="00DC7090">
              <w:rPr>
                <w:rFonts w:asciiTheme="majorBidi" w:hAnsiTheme="majorBidi" w:cstheme="majorBidi"/>
                <w:szCs w:val="24"/>
              </w:rPr>
              <w:t>-0.8%</w:t>
            </w:r>
          </w:p>
        </w:tc>
        <w:tc>
          <w:tcPr>
            <w:tcW w:w="2160" w:type="dxa"/>
          </w:tcPr>
          <w:p w14:paraId="5BAAD491" w14:textId="77777777" w:rsidR="00DC7090" w:rsidRPr="00DC7090" w:rsidRDefault="00DC7090" w:rsidP="00FA7BE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Cs w:val="24"/>
              </w:rPr>
            </w:pPr>
            <w:r w:rsidRPr="00DC7090">
              <w:rPr>
                <w:rFonts w:asciiTheme="majorBidi" w:hAnsiTheme="majorBidi" w:cstheme="majorBidi"/>
                <w:szCs w:val="24"/>
              </w:rPr>
              <w:t>-1.3%</w:t>
            </w:r>
          </w:p>
        </w:tc>
      </w:tr>
      <w:tr w:rsidR="00DC7090" w:rsidRPr="00DC7090" w14:paraId="27768271" w14:textId="77777777" w:rsidTr="00FA7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DF6B07" w14:textId="77777777" w:rsidR="00DC7090" w:rsidRPr="00DC7090" w:rsidRDefault="00DC7090" w:rsidP="00FA7BE0">
            <w:pPr>
              <w:rPr>
                <w:rFonts w:asciiTheme="majorBidi" w:hAnsiTheme="majorBidi"/>
                <w:szCs w:val="24"/>
              </w:rPr>
            </w:pPr>
            <w:r w:rsidRPr="00DC7090">
              <w:rPr>
                <w:rFonts w:asciiTheme="majorBidi" w:hAnsiTheme="majorBidi"/>
                <w:szCs w:val="24"/>
              </w:rPr>
              <w:t>2035</w:t>
            </w:r>
          </w:p>
        </w:tc>
        <w:tc>
          <w:tcPr>
            <w:tcW w:w="2160" w:type="dxa"/>
          </w:tcPr>
          <w:p w14:paraId="0219D8F1" w14:textId="77777777" w:rsidR="00DC7090" w:rsidRPr="00DC7090" w:rsidRDefault="00DC7090" w:rsidP="00FA7BE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DC7090">
              <w:rPr>
                <w:rFonts w:asciiTheme="majorBidi" w:hAnsiTheme="majorBidi" w:cstheme="majorBidi"/>
                <w:szCs w:val="24"/>
              </w:rPr>
              <w:t>2,067</w:t>
            </w:r>
          </w:p>
        </w:tc>
        <w:tc>
          <w:tcPr>
            <w:tcW w:w="2160" w:type="dxa"/>
          </w:tcPr>
          <w:p w14:paraId="34A45085" w14:textId="77777777" w:rsidR="00DC7090" w:rsidRPr="00DC7090" w:rsidRDefault="00DC7090" w:rsidP="00FA7BE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DC7090">
              <w:rPr>
                <w:rFonts w:asciiTheme="majorBidi" w:hAnsiTheme="majorBidi" w:cstheme="majorBidi"/>
                <w:szCs w:val="24"/>
              </w:rPr>
              <w:t>-1.2%</w:t>
            </w:r>
          </w:p>
        </w:tc>
        <w:tc>
          <w:tcPr>
            <w:tcW w:w="2160" w:type="dxa"/>
          </w:tcPr>
          <w:p w14:paraId="1EB1D649" w14:textId="77777777" w:rsidR="00DC7090" w:rsidRPr="00DC7090" w:rsidRDefault="00DC7090" w:rsidP="00FA7BE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DC7090">
              <w:rPr>
                <w:rFonts w:asciiTheme="majorBidi" w:hAnsiTheme="majorBidi" w:cstheme="majorBidi"/>
                <w:szCs w:val="24"/>
              </w:rPr>
              <w:t>-1.8%</w:t>
            </w:r>
          </w:p>
        </w:tc>
      </w:tr>
      <w:tr w:rsidR="00DC7090" w:rsidRPr="00DC7090" w14:paraId="25351C92" w14:textId="77777777" w:rsidTr="00FA7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76ED50" w14:textId="77777777" w:rsidR="00DC7090" w:rsidRPr="00DC7090" w:rsidRDefault="00DC7090" w:rsidP="00FA7BE0">
            <w:pPr>
              <w:rPr>
                <w:rFonts w:asciiTheme="majorBidi" w:hAnsiTheme="majorBidi"/>
                <w:szCs w:val="24"/>
              </w:rPr>
            </w:pPr>
            <w:r w:rsidRPr="00DC7090">
              <w:rPr>
                <w:rFonts w:asciiTheme="majorBidi" w:hAnsiTheme="majorBidi"/>
                <w:szCs w:val="24"/>
              </w:rPr>
              <w:t>2040</w:t>
            </w:r>
          </w:p>
        </w:tc>
        <w:tc>
          <w:tcPr>
            <w:tcW w:w="2160" w:type="dxa"/>
          </w:tcPr>
          <w:p w14:paraId="557ADBBF" w14:textId="77777777" w:rsidR="00DC7090" w:rsidRPr="00DC7090" w:rsidRDefault="00DC7090" w:rsidP="00FA7BE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Cs w:val="24"/>
              </w:rPr>
            </w:pPr>
            <w:r w:rsidRPr="00DC7090">
              <w:rPr>
                <w:rFonts w:asciiTheme="majorBidi" w:hAnsiTheme="majorBidi" w:cstheme="majorBidi"/>
                <w:szCs w:val="24"/>
              </w:rPr>
              <w:t>2,175</w:t>
            </w:r>
          </w:p>
        </w:tc>
        <w:tc>
          <w:tcPr>
            <w:tcW w:w="2160" w:type="dxa"/>
          </w:tcPr>
          <w:p w14:paraId="654D0560" w14:textId="77777777" w:rsidR="00DC7090" w:rsidRPr="00DC7090" w:rsidRDefault="00DC7090" w:rsidP="00FA7BE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Cs w:val="24"/>
              </w:rPr>
            </w:pPr>
            <w:r w:rsidRPr="00DC7090">
              <w:rPr>
                <w:rFonts w:asciiTheme="majorBidi" w:hAnsiTheme="majorBidi" w:cstheme="majorBidi"/>
                <w:szCs w:val="24"/>
              </w:rPr>
              <w:t>-1.5%</w:t>
            </w:r>
          </w:p>
        </w:tc>
        <w:tc>
          <w:tcPr>
            <w:tcW w:w="2160" w:type="dxa"/>
          </w:tcPr>
          <w:p w14:paraId="56D42FA8" w14:textId="77777777" w:rsidR="00DC7090" w:rsidRPr="00DC7090" w:rsidRDefault="00DC7090" w:rsidP="00FA7BE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Cs w:val="24"/>
              </w:rPr>
            </w:pPr>
            <w:r w:rsidRPr="00DC7090">
              <w:rPr>
                <w:rFonts w:asciiTheme="majorBidi" w:hAnsiTheme="majorBidi" w:cstheme="majorBidi"/>
                <w:szCs w:val="24"/>
              </w:rPr>
              <w:t>-2.2%</w:t>
            </w:r>
          </w:p>
        </w:tc>
      </w:tr>
    </w:tbl>
    <w:p w14:paraId="0195CD08" w14:textId="77777777" w:rsidR="00DC7090" w:rsidRPr="00DC7090" w:rsidRDefault="00DC7090" w:rsidP="00DC7090">
      <w:pPr>
        <w:rPr>
          <w:rFonts w:asciiTheme="majorBidi" w:hAnsiTheme="majorBidi" w:cstheme="majorBidi"/>
          <w:szCs w:val="24"/>
        </w:rPr>
      </w:pPr>
    </w:p>
    <w:p w14:paraId="6AE76406" w14:textId="77777777" w:rsidR="00DC7090" w:rsidRPr="00DC7090" w:rsidRDefault="00DC7090" w:rsidP="00DC7090">
      <w:pPr>
        <w:rPr>
          <w:rFonts w:asciiTheme="majorBidi" w:hAnsiTheme="majorBidi" w:cstheme="majorBidi"/>
          <w:szCs w:val="24"/>
        </w:rPr>
      </w:pPr>
      <w:r w:rsidRPr="00DC7090">
        <w:rPr>
          <w:rFonts w:asciiTheme="majorBidi" w:hAnsiTheme="majorBidi" w:cstheme="majorBidi"/>
          <w:b/>
          <w:szCs w:val="24"/>
        </w:rPr>
        <w:t>Interpretation:</w:t>
      </w:r>
    </w:p>
    <w:p w14:paraId="49F53C42" w14:textId="77777777" w:rsidR="00DC7090" w:rsidRPr="00DC7090" w:rsidRDefault="00DC7090" w:rsidP="00DC7090">
      <w:pPr>
        <w:pStyle w:val="ListBullet"/>
        <w:rPr>
          <w:rFonts w:asciiTheme="majorBidi" w:hAnsiTheme="majorBidi" w:cstheme="majorBidi"/>
          <w:szCs w:val="24"/>
        </w:rPr>
      </w:pPr>
      <w:r w:rsidRPr="00DC7090">
        <w:rPr>
          <w:rFonts w:asciiTheme="majorBidi" w:hAnsiTheme="majorBidi" w:cstheme="majorBidi"/>
          <w:szCs w:val="24"/>
        </w:rPr>
        <w:t>GDP costs are moderate: 1.5% for ETS1 and 2.2% for ETS2 by 2040. These represent annual GDP levels, not growth rates—Italy still grows, just slightly slower than BAU.</w:t>
      </w:r>
    </w:p>
    <w:p w14:paraId="60157B94" w14:textId="77777777" w:rsidR="00DC7090" w:rsidRPr="00DC7090" w:rsidRDefault="00DC7090" w:rsidP="00DC7090">
      <w:pPr>
        <w:pStyle w:val="ListBullet"/>
        <w:rPr>
          <w:rFonts w:asciiTheme="majorBidi" w:hAnsiTheme="majorBidi" w:cstheme="majorBidi"/>
          <w:szCs w:val="24"/>
        </w:rPr>
      </w:pPr>
      <w:r w:rsidRPr="00DC7090">
        <w:rPr>
          <w:rFonts w:asciiTheme="majorBidi" w:hAnsiTheme="majorBidi" w:cstheme="majorBidi"/>
          <w:szCs w:val="24"/>
        </w:rPr>
        <w:t>Costs reflect resource reallocation from fossil-intensive to clean sectors, with transition friction and capital adjustment costs.</w:t>
      </w:r>
    </w:p>
    <w:p w14:paraId="3332C12C" w14:textId="77777777" w:rsidR="00DC7090" w:rsidRPr="00DC7090" w:rsidRDefault="00DC7090" w:rsidP="00DC7090">
      <w:pPr>
        <w:pStyle w:val="ListBullet"/>
        <w:rPr>
          <w:rFonts w:asciiTheme="majorBidi" w:hAnsiTheme="majorBidi" w:cstheme="majorBidi"/>
          <w:szCs w:val="24"/>
        </w:rPr>
      </w:pPr>
      <w:r w:rsidRPr="00DC7090">
        <w:rPr>
          <w:rFonts w:asciiTheme="majorBidi" w:hAnsiTheme="majorBidi" w:cstheme="majorBidi"/>
          <w:szCs w:val="24"/>
        </w:rPr>
        <w:t>Revenue recycling through household rebates and investment subsidies partially offsets GDP impacts by maintaining demand and supporting productive investment.</w:t>
      </w:r>
    </w:p>
    <w:p w14:paraId="5AFCE5EE" w14:textId="5A771293" w:rsidR="009176A4" w:rsidRPr="0089415D" w:rsidRDefault="00DC7090" w:rsidP="0089415D">
      <w:pPr>
        <w:pStyle w:val="ListBullet"/>
        <w:rPr>
          <w:rFonts w:asciiTheme="majorBidi" w:hAnsiTheme="majorBidi" w:cstheme="majorBidi"/>
          <w:szCs w:val="24"/>
        </w:rPr>
      </w:pPr>
      <w:r w:rsidRPr="00DC7090">
        <w:rPr>
          <w:rFonts w:asciiTheme="majorBidi" w:hAnsiTheme="majorBidi" w:cstheme="majorBidi"/>
          <w:szCs w:val="24"/>
        </w:rPr>
        <w:t>Long-run costs likely overstated: Model does not capture induced innovation, health co-benefits from air quality improvements, or avoided climate damages.</w:t>
      </w:r>
    </w:p>
    <w:p w14:paraId="417C7CEC" w14:textId="2128BF53" w:rsidR="009176A4" w:rsidRDefault="009176A4" w:rsidP="0089415D">
      <w:pPr>
        <w:jc w:val="both"/>
      </w:pPr>
      <w:r>
        <w:t>In conclusi</w:t>
      </w:r>
      <w:r w:rsidR="0089415D">
        <w:t>on, t</w:t>
      </w:r>
      <w:r>
        <w:t>he CGE-I5 model demonstrates that Italy can achieve ambitious climate targets through well-designed carbon pricing and renewable energy support, with manageable economic costs and significant co-benefits. The transition to a low-carbon economy represents not only an environmental necessity but also an economic opportunity</w:t>
      </w:r>
      <w:r w:rsidR="0089415D">
        <w:t>-</w:t>
      </w:r>
      <w:r>
        <w:t>creating jobs, reducing energy import dependence, improving air quality, and fostering regional development.</w:t>
      </w:r>
    </w:p>
    <w:p w14:paraId="5FD141A0" w14:textId="77777777" w:rsidR="009176A4" w:rsidRDefault="009176A4" w:rsidP="0089415D">
      <w:pPr>
        <w:jc w:val="both"/>
      </w:pPr>
      <w:r>
        <w:t>Success requires sustained political commitment, careful policy design, and proactive management of distributional impacts. Carbon pricing must be combined with complementary policies: renewable energy support, grid modernization, regional development programs, and just transition measures for affected workers and communities. Revenue recycling through household rebates is essential for maintaining public support.</w:t>
      </w:r>
    </w:p>
    <w:p w14:paraId="79CF736F" w14:textId="77777777" w:rsidR="009176A4" w:rsidRDefault="009176A4" w:rsidP="0089415D">
      <w:pPr>
        <w:jc w:val="both"/>
      </w:pPr>
      <w:r>
        <w:t>The model provides a rigorous analytical foundation for policy design but should not be interpreted as providing precise forecasts. Scenario results illustrate plausible outcomes under different policy choices, highlighting trade-offs and design considerations. Policy decisions must integrate CGE model insights with broader considerations: technological uncertainties, political feasibility, international coordination, and ethical dimensions of climate action.</w:t>
      </w:r>
    </w:p>
    <w:p w14:paraId="268C6123" w14:textId="77777777" w:rsidR="009176A4" w:rsidRDefault="009176A4" w:rsidP="0089415D">
      <w:pPr>
        <w:jc w:val="both"/>
      </w:pPr>
      <w:r>
        <w:t xml:space="preserve">As Italy and Europe embark on this historic transformation, models like CGE-I5 serve as valuable tools for exploring pathways, anticipating challenges, and designing effective policies. Continued model development, empirical research, and policy evaluation will </w:t>
      </w:r>
      <w:r>
        <w:lastRenderedPageBreak/>
        <w:t>refine our understanding and improve decision-making. The path to climate neutrality is challenging but achievable, and the costs of inaction far exceed the costs of transition.</w:t>
      </w:r>
    </w:p>
    <w:p w14:paraId="2A628405" w14:textId="2401477B" w:rsidR="002E4EC9" w:rsidRPr="00EE7434" w:rsidRDefault="009176A4" w:rsidP="0089415D">
      <w:r>
        <w:br w:type="page"/>
      </w:r>
    </w:p>
    <w:p w14:paraId="3B150F79" w14:textId="1E083348" w:rsidR="00732E3E" w:rsidRPr="00EE7434" w:rsidRDefault="00732E3E" w:rsidP="00B67EC4">
      <w:pPr>
        <w:jc w:val="both"/>
        <w:rPr>
          <w:b/>
          <w:bCs/>
        </w:rPr>
      </w:pPr>
      <w:r w:rsidRPr="00EE7434">
        <w:rPr>
          <w:b/>
          <w:bCs/>
        </w:rPr>
        <w:lastRenderedPageBreak/>
        <w:t xml:space="preserve">References </w:t>
      </w:r>
    </w:p>
    <w:p w14:paraId="1FAB7D02" w14:textId="672E1BD2" w:rsidR="00732E3E" w:rsidRPr="00EE7434" w:rsidRDefault="00A82632" w:rsidP="00B67EC4">
      <w:pPr>
        <w:jc w:val="both"/>
      </w:pPr>
      <w:r w:rsidRPr="00EE7434">
        <w:t>Lofgren, H., Harris, R.L. and Robinson, S., 2002. </w:t>
      </w:r>
      <w:r w:rsidRPr="00EE7434">
        <w:rPr>
          <w:i/>
          <w:iCs/>
        </w:rPr>
        <w:t>A standard computable general equilibrium (CGE) model in GAMS</w:t>
      </w:r>
      <w:r w:rsidRPr="00EE7434">
        <w:t> (Vol. 5). Intl Food Policy Res Inst.</w:t>
      </w:r>
    </w:p>
    <w:p w14:paraId="1AD6696F" w14:textId="4D9E4630" w:rsidR="0016198F" w:rsidRPr="00EE7434" w:rsidRDefault="0016198F" w:rsidP="00B67EC4">
      <w:pPr>
        <w:jc w:val="both"/>
      </w:pPr>
      <w:proofErr w:type="spellStart"/>
      <w:r w:rsidRPr="00EE7434">
        <w:t>Callonnec</w:t>
      </w:r>
      <w:proofErr w:type="spellEnd"/>
      <w:r w:rsidRPr="00EE7434">
        <w:t xml:space="preserve">, G., Landa, G., Malliet, P., Reynes, F. and </w:t>
      </w:r>
      <w:proofErr w:type="spellStart"/>
      <w:r w:rsidRPr="00EE7434">
        <w:t>Yeddir-Tamsamani</w:t>
      </w:r>
      <w:proofErr w:type="spellEnd"/>
      <w:r w:rsidRPr="00EE7434">
        <w:t>, Y., 2013. A full description of the Three-ME model: Multi-sector Macroeconomic Model for the Evaluation of Environmental and Energy policy. </w:t>
      </w:r>
      <w:r w:rsidRPr="00EE7434">
        <w:rPr>
          <w:i/>
          <w:iCs/>
        </w:rPr>
        <w:t xml:space="preserve">Document de travail de </w:t>
      </w:r>
      <w:proofErr w:type="spellStart"/>
      <w:r w:rsidRPr="00EE7434">
        <w:rPr>
          <w:i/>
          <w:iCs/>
        </w:rPr>
        <w:t>l’OFCE</w:t>
      </w:r>
      <w:proofErr w:type="spellEnd"/>
      <w:r w:rsidRPr="00EE7434">
        <w:t>.</w:t>
      </w:r>
    </w:p>
    <w:p w14:paraId="71D6DEA2" w14:textId="58C51B6E" w:rsidR="004B57FE" w:rsidRPr="00EE7434" w:rsidRDefault="004B57FE" w:rsidP="00B67EC4">
      <w:pPr>
        <w:jc w:val="both"/>
      </w:pPr>
      <w:r w:rsidRPr="00EE7434">
        <w:t>Burniaux, J.M. and Truong, T.P., 2002. GTAP-E: an energy-environmental version of the GTAP model. </w:t>
      </w:r>
      <w:r w:rsidRPr="00EE7434">
        <w:rPr>
          <w:i/>
          <w:iCs/>
        </w:rPr>
        <w:t>GTAP technical papers</w:t>
      </w:r>
      <w:r w:rsidRPr="00EE7434">
        <w:t>, p.18.</w:t>
      </w:r>
    </w:p>
    <w:p w14:paraId="2E66467D" w14:textId="7069256F" w:rsidR="00141BCC" w:rsidRPr="00EE7434" w:rsidRDefault="000C2290" w:rsidP="00B67EC4">
      <w:pPr>
        <w:jc w:val="both"/>
      </w:pPr>
      <w:r w:rsidRPr="00EE7434">
        <w:t>ISPRA (2022). Italian Greenhouse Gas Inventory 1990-2020: National Inventory Report 2022. Rome: ISPRA.</w:t>
      </w:r>
    </w:p>
    <w:p w14:paraId="2BCB5CDB" w14:textId="510CA4E9" w:rsidR="0000308C" w:rsidRPr="00EE7434" w:rsidRDefault="0000308C" w:rsidP="00B67EC4">
      <w:pPr>
        <w:jc w:val="both"/>
      </w:pPr>
      <w:r w:rsidRPr="00EE7434">
        <w:t>Walras, L., 1900. </w:t>
      </w:r>
      <w:proofErr w:type="spellStart"/>
      <w:r w:rsidRPr="00EE7434">
        <w:rPr>
          <w:i/>
          <w:iCs/>
        </w:rPr>
        <w:t>Éléments</w:t>
      </w:r>
      <w:proofErr w:type="spellEnd"/>
      <w:r w:rsidRPr="00EE7434">
        <w:rPr>
          <w:i/>
          <w:iCs/>
        </w:rPr>
        <w:t xml:space="preserve"> </w:t>
      </w:r>
      <w:proofErr w:type="spellStart"/>
      <w:r w:rsidRPr="00EE7434">
        <w:rPr>
          <w:i/>
          <w:iCs/>
        </w:rPr>
        <w:t>d'économie</w:t>
      </w:r>
      <w:proofErr w:type="spellEnd"/>
      <w:r w:rsidRPr="00EE7434">
        <w:rPr>
          <w:i/>
          <w:iCs/>
        </w:rPr>
        <w:t xml:space="preserve"> politique pure: </w:t>
      </w:r>
      <w:proofErr w:type="spellStart"/>
      <w:r w:rsidRPr="00EE7434">
        <w:rPr>
          <w:i/>
          <w:iCs/>
        </w:rPr>
        <w:t>ou</w:t>
      </w:r>
      <w:proofErr w:type="spellEnd"/>
      <w:r w:rsidRPr="00EE7434">
        <w:rPr>
          <w:i/>
          <w:iCs/>
        </w:rPr>
        <w:t xml:space="preserve">, </w:t>
      </w:r>
      <w:proofErr w:type="spellStart"/>
      <w:r w:rsidRPr="00EE7434">
        <w:rPr>
          <w:i/>
          <w:iCs/>
        </w:rPr>
        <w:t>Théorie</w:t>
      </w:r>
      <w:proofErr w:type="spellEnd"/>
      <w:r w:rsidRPr="00EE7434">
        <w:rPr>
          <w:i/>
          <w:iCs/>
        </w:rPr>
        <w:t xml:space="preserve"> de la richesse </w:t>
      </w:r>
      <w:proofErr w:type="spellStart"/>
      <w:r w:rsidRPr="00EE7434">
        <w:rPr>
          <w:i/>
          <w:iCs/>
        </w:rPr>
        <w:t>sociale</w:t>
      </w:r>
      <w:proofErr w:type="spellEnd"/>
      <w:r w:rsidRPr="00EE7434">
        <w:t>. F. Rouge.</w:t>
      </w:r>
    </w:p>
    <w:p w14:paraId="5E1E683B" w14:textId="184F9295" w:rsidR="00B67EC4" w:rsidRPr="00EE7434" w:rsidRDefault="00B67EC4" w:rsidP="00B67EC4">
      <w:pPr>
        <w:jc w:val="both"/>
      </w:pPr>
      <w:r w:rsidRPr="00EE7434">
        <w:t>Arrow, K.J. and Debreu, G., 2024. Existence of an equilibrium for a competitive economy. In </w:t>
      </w:r>
      <w:r w:rsidRPr="00EE7434">
        <w:rPr>
          <w:i/>
          <w:iCs/>
        </w:rPr>
        <w:t>The Foundations of Price Theory Vol 5</w:t>
      </w:r>
      <w:r w:rsidRPr="00EE7434">
        <w:t> (pp. 289-316). Routledge.</w:t>
      </w:r>
    </w:p>
    <w:p w14:paraId="7BCA1513" w14:textId="44FDA292" w:rsidR="006C7B75" w:rsidRPr="00EE7434" w:rsidRDefault="006C7B75" w:rsidP="006C7B75">
      <w:pPr>
        <w:jc w:val="both"/>
      </w:pPr>
      <w:r w:rsidRPr="00EE7434">
        <w:t>Johansen, L., 1964. </w:t>
      </w:r>
      <w:r w:rsidRPr="00EE7434">
        <w:rPr>
          <w:i/>
          <w:iCs/>
        </w:rPr>
        <w:t>A multi-sectoral study of economic growth</w:t>
      </w:r>
      <w:r w:rsidRPr="00EE7434">
        <w:t> (Vol. 196). Amsterdam: North-Holland.</w:t>
      </w:r>
    </w:p>
    <w:p w14:paraId="16B39B5A" w14:textId="7E2559EE" w:rsidR="001316FD" w:rsidRPr="00EE7434" w:rsidRDefault="001316FD" w:rsidP="001316FD">
      <w:pPr>
        <w:jc w:val="both"/>
      </w:pPr>
      <w:r w:rsidRPr="00EE7434">
        <w:t>Scarf, H.E., 1967. The core of an N person game. </w:t>
      </w:r>
      <w:proofErr w:type="spellStart"/>
      <w:r w:rsidRPr="00EE7434">
        <w:rPr>
          <w:i/>
          <w:iCs/>
        </w:rPr>
        <w:t>Econometrica</w:t>
      </w:r>
      <w:proofErr w:type="spellEnd"/>
      <w:r w:rsidRPr="00EE7434">
        <w:rPr>
          <w:i/>
          <w:iCs/>
        </w:rPr>
        <w:t>: Journal of the Econometric Society</w:t>
      </w:r>
      <w:r w:rsidRPr="00EE7434">
        <w:t>, pp.50-69.</w:t>
      </w:r>
    </w:p>
    <w:p w14:paraId="0C6FA60B" w14:textId="13A0CAA9" w:rsidR="00EF62ED" w:rsidRPr="00EE7434" w:rsidRDefault="00EF62ED" w:rsidP="00EF62ED">
      <w:pPr>
        <w:jc w:val="both"/>
      </w:pPr>
      <w:r w:rsidRPr="00EE7434">
        <w:t>Dervis, K., Melo, J.D. and Robinson, S., 198</w:t>
      </w:r>
      <w:r w:rsidRPr="00EE7434">
        <w:t>2</w:t>
      </w:r>
      <w:r w:rsidRPr="00EE7434">
        <w:t>. General equilibrium models for development policy. </w:t>
      </w:r>
      <w:r w:rsidRPr="00EE7434">
        <w:rPr>
          <w:i/>
          <w:iCs/>
        </w:rPr>
        <w:t>World</w:t>
      </w:r>
      <w:r w:rsidRPr="00EE7434">
        <w:t>.</w:t>
      </w:r>
    </w:p>
    <w:p w14:paraId="44A9A9AF" w14:textId="71CDD4F7" w:rsidR="00BA2587" w:rsidRPr="00EE7434" w:rsidRDefault="00BA2587" w:rsidP="00BA2587">
      <w:pPr>
        <w:jc w:val="both"/>
      </w:pPr>
      <w:r w:rsidRPr="00EE7434">
        <w:t>Dixon, P.B. and Parmenter, B.R., 1996. Computable general equilibrium modelling for policy analysis and forecasting. </w:t>
      </w:r>
      <w:r w:rsidRPr="00EE7434">
        <w:rPr>
          <w:i/>
          <w:iCs/>
        </w:rPr>
        <w:t>Handbook of computational economics</w:t>
      </w:r>
      <w:r w:rsidRPr="00EE7434">
        <w:t>, </w:t>
      </w:r>
      <w:r w:rsidRPr="00EE7434">
        <w:rPr>
          <w:i/>
          <w:iCs/>
        </w:rPr>
        <w:t>1</w:t>
      </w:r>
      <w:r w:rsidRPr="00EE7434">
        <w:t>, pp.3-85.</w:t>
      </w:r>
    </w:p>
    <w:p w14:paraId="26127F92" w14:textId="2A5F88B4" w:rsidR="0043745F" w:rsidRPr="00EE7434" w:rsidRDefault="0043745F" w:rsidP="0043745F">
      <w:pPr>
        <w:jc w:val="both"/>
      </w:pPr>
      <w:r w:rsidRPr="00EE7434">
        <w:t>Partridge, M.D. and Rickman, D.S., 2010. Computable general equilibrium (CGE) modelling for regional economic development analysis. </w:t>
      </w:r>
      <w:r w:rsidRPr="00EE7434">
        <w:rPr>
          <w:i/>
          <w:iCs/>
        </w:rPr>
        <w:t>Regional studies</w:t>
      </w:r>
      <w:r w:rsidRPr="00EE7434">
        <w:t>, </w:t>
      </w:r>
      <w:r w:rsidRPr="00EE7434">
        <w:rPr>
          <w:i/>
          <w:iCs/>
        </w:rPr>
        <w:t>44</w:t>
      </w:r>
      <w:r w:rsidRPr="00EE7434">
        <w:t>(10), pp.1311-1328.</w:t>
      </w:r>
    </w:p>
    <w:p w14:paraId="3F4DFEB7" w14:textId="3EF91412" w:rsidR="00D01445" w:rsidRPr="00EE7434" w:rsidRDefault="00D01445" w:rsidP="00D01445">
      <w:pPr>
        <w:jc w:val="both"/>
      </w:pPr>
      <w:r w:rsidRPr="00EE7434">
        <w:t xml:space="preserve">Reynes, F., </w:t>
      </w:r>
      <w:proofErr w:type="spellStart"/>
      <w:r w:rsidRPr="00EE7434">
        <w:t>Callonnec</w:t>
      </w:r>
      <w:proofErr w:type="spellEnd"/>
      <w:r w:rsidRPr="00EE7434">
        <w:t xml:space="preserve">, G., Gouedard, H., </w:t>
      </w:r>
      <w:proofErr w:type="spellStart"/>
      <w:r w:rsidRPr="00EE7434">
        <w:t>Saussay</w:t>
      </w:r>
      <w:proofErr w:type="spellEnd"/>
      <w:r w:rsidRPr="00EE7434">
        <w:t xml:space="preserve">, A., Landa, G., Malliet, P., </w:t>
      </w:r>
      <w:proofErr w:type="spellStart"/>
      <w:r w:rsidRPr="00EE7434">
        <w:t>Gueret</w:t>
      </w:r>
      <w:proofErr w:type="spellEnd"/>
      <w:r w:rsidRPr="00EE7434">
        <w:t>, A. and Hu, J., 2021. </w:t>
      </w:r>
      <w:r w:rsidRPr="00EE7434">
        <w:rPr>
          <w:i/>
          <w:iCs/>
        </w:rPr>
        <w:t>ThreeME Version 3-Multi-sector Macroeconomic Model for the Evaluation of Environmental and Energy policy. A full description</w:t>
      </w:r>
      <w:r w:rsidRPr="00EE7434">
        <w:t xml:space="preserve"> (No. INIS-FR--23-0576). Observatoire </w:t>
      </w:r>
      <w:proofErr w:type="spellStart"/>
      <w:r w:rsidRPr="00EE7434">
        <w:t>Francais</w:t>
      </w:r>
      <w:proofErr w:type="spellEnd"/>
      <w:r w:rsidRPr="00EE7434">
        <w:t xml:space="preserve"> des </w:t>
      </w:r>
      <w:proofErr w:type="spellStart"/>
      <w:r w:rsidRPr="00EE7434">
        <w:t>Conjonctures</w:t>
      </w:r>
      <w:proofErr w:type="spellEnd"/>
      <w:r w:rsidRPr="00EE7434">
        <w:t xml:space="preserve"> </w:t>
      </w:r>
      <w:proofErr w:type="spellStart"/>
      <w:r w:rsidRPr="00EE7434">
        <w:t>eonomiques</w:t>
      </w:r>
      <w:proofErr w:type="spellEnd"/>
      <w:r w:rsidRPr="00EE7434">
        <w:t xml:space="preserve">-OFCE, 27, rue Saint Guillaume, 75337 PARIS </w:t>
      </w:r>
      <w:proofErr w:type="spellStart"/>
      <w:r w:rsidRPr="00EE7434">
        <w:t>cedex</w:t>
      </w:r>
      <w:proofErr w:type="spellEnd"/>
      <w:r w:rsidRPr="00EE7434">
        <w:t xml:space="preserve"> 07 (France).</w:t>
      </w:r>
    </w:p>
    <w:p w14:paraId="64FAEAE6" w14:textId="0B2EBA5C" w:rsidR="0040279C" w:rsidRPr="00EE7434" w:rsidRDefault="0040279C" w:rsidP="0040279C">
      <w:pPr>
        <w:jc w:val="both"/>
      </w:pPr>
      <w:r w:rsidRPr="00EE7434">
        <w:t>Böhringer, C. and Rutherford, T.F., 2008. Combining bottom-up and top-down. </w:t>
      </w:r>
      <w:r w:rsidRPr="00EE7434">
        <w:rPr>
          <w:i/>
          <w:iCs/>
        </w:rPr>
        <w:t>Energy Economics</w:t>
      </w:r>
      <w:r w:rsidRPr="00EE7434">
        <w:t>, </w:t>
      </w:r>
      <w:r w:rsidRPr="00EE7434">
        <w:rPr>
          <w:i/>
          <w:iCs/>
        </w:rPr>
        <w:t>30</w:t>
      </w:r>
      <w:r w:rsidRPr="00EE7434">
        <w:t>(2), pp.574-596.</w:t>
      </w:r>
    </w:p>
    <w:p w14:paraId="262ADA20" w14:textId="247CE47A" w:rsidR="00536A71" w:rsidRPr="00EE7434" w:rsidRDefault="00536A71" w:rsidP="00536A71">
      <w:pPr>
        <w:jc w:val="both"/>
      </w:pPr>
      <w:proofErr w:type="spellStart"/>
      <w:r w:rsidRPr="00EE7434">
        <w:lastRenderedPageBreak/>
        <w:t>Capros</w:t>
      </w:r>
      <w:proofErr w:type="spellEnd"/>
      <w:r w:rsidRPr="00EE7434">
        <w:t xml:space="preserve">, P., Tasios, N., De Vita, A., Mantzos, L. and </w:t>
      </w:r>
      <w:proofErr w:type="spellStart"/>
      <w:r w:rsidRPr="00EE7434">
        <w:t>Paroussos</w:t>
      </w:r>
      <w:proofErr w:type="spellEnd"/>
      <w:r w:rsidRPr="00EE7434">
        <w:t>, L., 2012. Model-based analysis of decarbonising the EU economy in the time horizon to 2050. </w:t>
      </w:r>
      <w:r w:rsidRPr="00EE7434">
        <w:rPr>
          <w:i/>
          <w:iCs/>
        </w:rPr>
        <w:t>Energy strategy reviews</w:t>
      </w:r>
      <w:r w:rsidRPr="00EE7434">
        <w:t>, </w:t>
      </w:r>
      <w:r w:rsidRPr="00EE7434">
        <w:rPr>
          <w:i/>
          <w:iCs/>
        </w:rPr>
        <w:t>1</w:t>
      </w:r>
      <w:r w:rsidRPr="00EE7434">
        <w:t>(2), pp.76-84.</w:t>
      </w:r>
    </w:p>
    <w:p w14:paraId="71ED4C35" w14:textId="0C2CDF2A" w:rsidR="001F0171" w:rsidRPr="00EE7434" w:rsidRDefault="001F0171" w:rsidP="001F0171">
      <w:pPr>
        <w:jc w:val="both"/>
      </w:pPr>
      <w:r w:rsidRPr="00EE7434">
        <w:t xml:space="preserve">Pigou, A., </w:t>
      </w:r>
      <w:r w:rsidRPr="00EE7434">
        <w:t>1920</w:t>
      </w:r>
      <w:r w:rsidRPr="00EE7434">
        <w:t>. </w:t>
      </w:r>
      <w:r w:rsidRPr="00EE7434">
        <w:rPr>
          <w:i/>
          <w:iCs/>
        </w:rPr>
        <w:t>The economics of welfare</w:t>
      </w:r>
      <w:r w:rsidRPr="00EE7434">
        <w:t>. Routledge.</w:t>
      </w:r>
    </w:p>
    <w:p w14:paraId="294B3445" w14:textId="58664B46" w:rsidR="008A13B6" w:rsidRPr="00EE7434" w:rsidRDefault="008A13B6" w:rsidP="008A13B6">
      <w:pPr>
        <w:jc w:val="both"/>
      </w:pPr>
      <w:r w:rsidRPr="00EE7434">
        <w:t>Ellerman, A.D., Convery, F.J. and De Perthuis, C., 2010. </w:t>
      </w:r>
      <w:r w:rsidRPr="00EE7434">
        <w:rPr>
          <w:i/>
          <w:iCs/>
        </w:rPr>
        <w:t>Pricing carbon: the European Union emissions trading scheme</w:t>
      </w:r>
      <w:r w:rsidRPr="00EE7434">
        <w:t>. Cambridge university press.</w:t>
      </w:r>
    </w:p>
    <w:p w14:paraId="6D35F9D2" w14:textId="389F78A9" w:rsidR="00691B95" w:rsidRPr="00EE7434" w:rsidRDefault="00691B95" w:rsidP="00691B95">
      <w:pPr>
        <w:jc w:val="both"/>
      </w:pPr>
      <w:r w:rsidRPr="00EE7434">
        <w:t>Perino, G. and Willner, M., 2016. Procrastinating reform: The impact of the market stability reserve on the EU ETS. </w:t>
      </w:r>
      <w:r w:rsidRPr="00EE7434">
        <w:rPr>
          <w:i/>
          <w:iCs/>
        </w:rPr>
        <w:t>Journal of Environmental Economics and Management</w:t>
      </w:r>
      <w:r w:rsidRPr="00EE7434">
        <w:t>, </w:t>
      </w:r>
      <w:r w:rsidRPr="00EE7434">
        <w:rPr>
          <w:i/>
          <w:iCs/>
        </w:rPr>
        <w:t>80</w:t>
      </w:r>
      <w:r w:rsidRPr="00EE7434">
        <w:t>, pp.37-52.</w:t>
      </w:r>
    </w:p>
    <w:p w14:paraId="190790E5" w14:textId="088DA636" w:rsidR="00467D19" w:rsidRPr="00EE7434" w:rsidRDefault="00467D19" w:rsidP="00467D19">
      <w:pPr>
        <w:jc w:val="both"/>
      </w:pPr>
      <w:proofErr w:type="spellStart"/>
      <w:r w:rsidRPr="00EE7434">
        <w:t>Bruninx</w:t>
      </w:r>
      <w:proofErr w:type="spellEnd"/>
      <w:r w:rsidRPr="00EE7434">
        <w:t xml:space="preserve">, K., </w:t>
      </w:r>
      <w:proofErr w:type="spellStart"/>
      <w:r w:rsidRPr="00EE7434">
        <w:t>Ovaere</w:t>
      </w:r>
      <w:proofErr w:type="spellEnd"/>
      <w:r w:rsidRPr="00EE7434">
        <w:t>, M. and Delarue, E., 2020. The long-term impact of the market stability reserve on the EU emission trading system. </w:t>
      </w:r>
      <w:r w:rsidRPr="00EE7434">
        <w:rPr>
          <w:i/>
          <w:iCs/>
        </w:rPr>
        <w:t>Energy Economics</w:t>
      </w:r>
      <w:r w:rsidRPr="00EE7434">
        <w:t>, </w:t>
      </w:r>
      <w:r w:rsidRPr="00EE7434">
        <w:rPr>
          <w:i/>
          <w:iCs/>
        </w:rPr>
        <w:t>89</w:t>
      </w:r>
      <w:r w:rsidRPr="00EE7434">
        <w:t>, p.104746.</w:t>
      </w:r>
    </w:p>
    <w:p w14:paraId="4B78EE7E" w14:textId="07A983E5" w:rsidR="00897B74" w:rsidRPr="00EE7434" w:rsidRDefault="00897B74" w:rsidP="00897B74">
      <w:pPr>
        <w:jc w:val="both"/>
      </w:pPr>
      <w:r w:rsidRPr="00EE7434">
        <w:t xml:space="preserve">Flachsland, C., Pahle, M., </w:t>
      </w:r>
      <w:proofErr w:type="spellStart"/>
      <w:r w:rsidRPr="00EE7434">
        <w:t>Burtraw</w:t>
      </w:r>
      <w:proofErr w:type="spellEnd"/>
      <w:r w:rsidRPr="00EE7434">
        <w:t xml:space="preserve">, D., Edenhofer, O., </w:t>
      </w:r>
      <w:proofErr w:type="spellStart"/>
      <w:r w:rsidRPr="00EE7434">
        <w:t>Elkerbout</w:t>
      </w:r>
      <w:proofErr w:type="spellEnd"/>
      <w:r w:rsidRPr="00EE7434">
        <w:t>, M., Fischer, C., Tietjen, O. and Zetterberg, L., 2020. How to avoid history repeating itself: the case for an EU Emissions Trading System (EU ETS) price floor revisited. </w:t>
      </w:r>
      <w:r w:rsidRPr="00EE7434">
        <w:rPr>
          <w:i/>
          <w:iCs/>
        </w:rPr>
        <w:t>Climate Policy</w:t>
      </w:r>
      <w:r w:rsidRPr="00EE7434">
        <w:t>, </w:t>
      </w:r>
      <w:r w:rsidRPr="00EE7434">
        <w:rPr>
          <w:i/>
          <w:iCs/>
        </w:rPr>
        <w:t>20</w:t>
      </w:r>
      <w:r w:rsidRPr="00EE7434">
        <w:t>(1), pp.133-142.</w:t>
      </w:r>
    </w:p>
    <w:p w14:paraId="25B41A28" w14:textId="2104F10B" w:rsidR="007000E3" w:rsidRPr="00EE7434" w:rsidRDefault="007000E3" w:rsidP="007000E3">
      <w:pPr>
        <w:jc w:val="both"/>
      </w:pPr>
      <w:r w:rsidRPr="00EE7434">
        <w:t>Edenhofer, O., Kosch, M., Pahle, M. and Zachmann, G., 2021. A whole-economy carbon price for Europe and how to get there. </w:t>
      </w:r>
      <w:r w:rsidRPr="00EE7434">
        <w:rPr>
          <w:i/>
          <w:iCs/>
        </w:rPr>
        <w:t>European Energy &amp; Climate Journal</w:t>
      </w:r>
      <w:r w:rsidRPr="00EE7434">
        <w:t>, </w:t>
      </w:r>
      <w:r w:rsidRPr="00EE7434">
        <w:rPr>
          <w:i/>
          <w:iCs/>
        </w:rPr>
        <w:t>10</w:t>
      </w:r>
      <w:r w:rsidRPr="00EE7434">
        <w:t>(1-2), pp.49-61.</w:t>
      </w:r>
    </w:p>
    <w:p w14:paraId="211327AE" w14:textId="2E685309" w:rsidR="00C4646E" w:rsidRPr="00EE7434" w:rsidRDefault="00C4646E" w:rsidP="00C4646E">
      <w:pPr>
        <w:jc w:val="both"/>
      </w:pPr>
      <w:r w:rsidRPr="00EE7434">
        <w:t>Parry, I.W. and Williams III, R.C., 1999. A second-best evaluation of eight policy instruments to reduce carbon emissions. </w:t>
      </w:r>
      <w:r w:rsidRPr="00EE7434">
        <w:rPr>
          <w:i/>
          <w:iCs/>
        </w:rPr>
        <w:t>Resource and Energy Economics</w:t>
      </w:r>
      <w:r w:rsidRPr="00EE7434">
        <w:t>, </w:t>
      </w:r>
      <w:r w:rsidRPr="00EE7434">
        <w:rPr>
          <w:i/>
          <w:iCs/>
        </w:rPr>
        <w:t>21</w:t>
      </w:r>
      <w:r w:rsidRPr="00EE7434">
        <w:t>(3-4), pp.347-373.</w:t>
      </w:r>
    </w:p>
    <w:p w14:paraId="58DF0919" w14:textId="2936EB1A" w:rsidR="002F4323" w:rsidRPr="00EE7434" w:rsidRDefault="002F4323" w:rsidP="002F4323">
      <w:pPr>
        <w:jc w:val="both"/>
      </w:pPr>
      <w:r w:rsidRPr="00EE7434">
        <w:t xml:space="preserve">Grubb, M., </w:t>
      </w:r>
      <w:proofErr w:type="spellStart"/>
      <w:r w:rsidRPr="00EE7434">
        <w:t>Hourcade</w:t>
      </w:r>
      <w:proofErr w:type="spellEnd"/>
      <w:r w:rsidRPr="00EE7434">
        <w:t>, J.C. and Neuhoff, K., 2014. </w:t>
      </w:r>
      <w:r w:rsidRPr="00EE7434">
        <w:rPr>
          <w:i/>
          <w:iCs/>
        </w:rPr>
        <w:t>Planetary economics: energy, climate change and the three domains of sustainable development</w:t>
      </w:r>
      <w:r w:rsidRPr="00EE7434">
        <w:t>. Routledge.</w:t>
      </w:r>
    </w:p>
    <w:p w14:paraId="6EEA64B4" w14:textId="235341D2" w:rsidR="00DC36D0" w:rsidRPr="00EE7434" w:rsidRDefault="00DC36D0" w:rsidP="00DC36D0">
      <w:pPr>
        <w:jc w:val="both"/>
      </w:pPr>
      <w:proofErr w:type="spellStart"/>
      <w:r w:rsidRPr="00EE7434">
        <w:t>Creutzig</w:t>
      </w:r>
      <w:proofErr w:type="spellEnd"/>
      <w:r w:rsidRPr="00EE7434">
        <w:t xml:space="preserve">, F., Agoston, P., Goldschmidt, J.C., </w:t>
      </w:r>
      <w:proofErr w:type="spellStart"/>
      <w:r w:rsidRPr="00EE7434">
        <w:t>Luderer</w:t>
      </w:r>
      <w:proofErr w:type="spellEnd"/>
      <w:r w:rsidRPr="00EE7434">
        <w:t xml:space="preserve">, G., Nemet, G. and </w:t>
      </w:r>
      <w:proofErr w:type="spellStart"/>
      <w:r w:rsidRPr="00EE7434">
        <w:t>Pietzcker</w:t>
      </w:r>
      <w:proofErr w:type="spellEnd"/>
      <w:r w:rsidRPr="00EE7434">
        <w:t>, R.C., 2017. The underestimated potential of solar energy to mitigate climate change. </w:t>
      </w:r>
      <w:r w:rsidRPr="00EE7434">
        <w:rPr>
          <w:i/>
          <w:iCs/>
        </w:rPr>
        <w:t>Nature Energy</w:t>
      </w:r>
      <w:r w:rsidRPr="00EE7434">
        <w:t>, </w:t>
      </w:r>
      <w:r w:rsidRPr="00EE7434">
        <w:rPr>
          <w:i/>
          <w:iCs/>
        </w:rPr>
        <w:t>2</w:t>
      </w:r>
      <w:r w:rsidRPr="00EE7434">
        <w:t>(9), pp.1-9.</w:t>
      </w:r>
    </w:p>
    <w:p w14:paraId="764474B3" w14:textId="0C47C9EF" w:rsidR="00B968A3" w:rsidRPr="00EE7434" w:rsidRDefault="001C0B00" w:rsidP="001C0B00">
      <w:pPr>
        <w:jc w:val="both"/>
      </w:pPr>
      <w:r w:rsidRPr="00EE7434">
        <w:t xml:space="preserve">Hirth, L., </w:t>
      </w:r>
      <w:proofErr w:type="spellStart"/>
      <w:r w:rsidRPr="00EE7434">
        <w:t>Ueckerdt</w:t>
      </w:r>
      <w:proofErr w:type="spellEnd"/>
      <w:r w:rsidRPr="00EE7434">
        <w:t>, F. and Edenhofer, O., 2015. Integration costs revisited–An economic framework for wind and solar variability. </w:t>
      </w:r>
      <w:r w:rsidRPr="00EE7434">
        <w:rPr>
          <w:i/>
          <w:iCs/>
        </w:rPr>
        <w:t>Renewable Energy</w:t>
      </w:r>
      <w:r w:rsidRPr="00EE7434">
        <w:t>, </w:t>
      </w:r>
      <w:r w:rsidRPr="00EE7434">
        <w:rPr>
          <w:i/>
          <w:iCs/>
        </w:rPr>
        <w:t>74</w:t>
      </w:r>
      <w:r w:rsidRPr="00EE7434">
        <w:t>, pp.925-939.</w:t>
      </w:r>
    </w:p>
    <w:p w14:paraId="3486FEC3" w14:textId="387C4FF1" w:rsidR="00764553" w:rsidRPr="00EE7434" w:rsidRDefault="00764553" w:rsidP="00764553">
      <w:pPr>
        <w:jc w:val="both"/>
      </w:pPr>
      <w:r w:rsidRPr="00EE7434">
        <w:t>Joskow, P.L., 2011. Comparing the costs of intermittent and dispatchable electricity generating technologies. </w:t>
      </w:r>
      <w:r w:rsidRPr="00EE7434">
        <w:rPr>
          <w:i/>
          <w:iCs/>
        </w:rPr>
        <w:t>American Economic Review</w:t>
      </w:r>
      <w:r w:rsidRPr="00EE7434">
        <w:t>, </w:t>
      </w:r>
      <w:r w:rsidRPr="00EE7434">
        <w:rPr>
          <w:i/>
          <w:iCs/>
        </w:rPr>
        <w:t>101</w:t>
      </w:r>
      <w:r w:rsidRPr="00EE7434">
        <w:t>(3), pp.238-241.</w:t>
      </w:r>
    </w:p>
    <w:p w14:paraId="61DC37CE" w14:textId="77777777" w:rsidR="00B1541D" w:rsidRPr="00EE7434" w:rsidRDefault="00B1541D" w:rsidP="00B1541D">
      <w:pPr>
        <w:jc w:val="both"/>
      </w:pPr>
      <w:r w:rsidRPr="00EE7434">
        <w:t xml:space="preserve">Jacobson, M.Z., Delucchi, M.A., Bauer, Z.A., Goodman, S.C., Chapman, W.E., Cameron, M.A., </w:t>
      </w:r>
      <w:proofErr w:type="spellStart"/>
      <w:r w:rsidRPr="00EE7434">
        <w:t>Bozonnat</w:t>
      </w:r>
      <w:proofErr w:type="spellEnd"/>
      <w:r w:rsidRPr="00EE7434">
        <w:t xml:space="preserve">, C., </w:t>
      </w:r>
      <w:proofErr w:type="spellStart"/>
      <w:r w:rsidRPr="00EE7434">
        <w:t>Chobadi</w:t>
      </w:r>
      <w:proofErr w:type="spellEnd"/>
      <w:r w:rsidRPr="00EE7434">
        <w:t xml:space="preserve">, L., Clonts, H.A., Enevoldsen, P. and Erwin, J.R., </w:t>
      </w:r>
      <w:r w:rsidRPr="00EE7434">
        <w:lastRenderedPageBreak/>
        <w:t>2017. 100% clean and renewable wind, water, and sunlight all-sector energy roadmaps for 139 countries of the world. </w:t>
      </w:r>
      <w:r w:rsidRPr="00EE7434">
        <w:rPr>
          <w:i/>
          <w:iCs/>
        </w:rPr>
        <w:t>Joule</w:t>
      </w:r>
      <w:r w:rsidRPr="00EE7434">
        <w:t>, </w:t>
      </w:r>
      <w:r w:rsidRPr="00EE7434">
        <w:rPr>
          <w:i/>
          <w:iCs/>
        </w:rPr>
        <w:t>1</w:t>
      </w:r>
      <w:r w:rsidRPr="00EE7434">
        <w:t>(1), pp.108-121.</w:t>
      </w:r>
    </w:p>
    <w:p w14:paraId="5855B339" w14:textId="77777777" w:rsidR="00B1541D" w:rsidRPr="00EE7434" w:rsidRDefault="00B1541D" w:rsidP="00B1541D">
      <w:pPr>
        <w:jc w:val="both"/>
      </w:pPr>
      <w:r w:rsidRPr="00EE7434">
        <w:t>Al-</w:t>
      </w:r>
      <w:proofErr w:type="spellStart"/>
      <w:r w:rsidRPr="00EE7434">
        <w:t>Shetwi</w:t>
      </w:r>
      <w:proofErr w:type="spellEnd"/>
      <w:r w:rsidRPr="00EE7434">
        <w:t xml:space="preserve">, A.Q., Abidin, I.Z., </w:t>
      </w:r>
      <w:proofErr w:type="spellStart"/>
      <w:r w:rsidRPr="00EE7434">
        <w:t>Mahafzah</w:t>
      </w:r>
      <w:proofErr w:type="spellEnd"/>
      <w:r w:rsidRPr="00EE7434">
        <w:t>, K.A. and Hannan, M.A., 2024. Feasibility of future transition to 100% renewable energy: Recent progress, policies, challenges, and perspectives. </w:t>
      </w:r>
      <w:r w:rsidRPr="00EE7434">
        <w:rPr>
          <w:i/>
          <w:iCs/>
        </w:rPr>
        <w:t>Journal of Cleaner Production</w:t>
      </w:r>
      <w:r w:rsidRPr="00EE7434">
        <w:t>, </w:t>
      </w:r>
      <w:r w:rsidRPr="00EE7434">
        <w:rPr>
          <w:i/>
          <w:iCs/>
        </w:rPr>
        <w:t>478</w:t>
      </w:r>
      <w:r w:rsidRPr="00EE7434">
        <w:t>, p.143942.</w:t>
      </w:r>
    </w:p>
    <w:p w14:paraId="3EEE25FB" w14:textId="77777777" w:rsidR="000B348D" w:rsidRPr="00EE7434" w:rsidRDefault="000B348D" w:rsidP="000B348D">
      <w:pPr>
        <w:jc w:val="both"/>
      </w:pPr>
      <w:r w:rsidRPr="00EE7434">
        <w:t>Lau, M.I., Pahlke, A. and Rutherford, T.F., 2002. Approximating infinite-horizon models in a complementarity format: A primer in dynamic general equilibrium analysis. </w:t>
      </w:r>
      <w:r w:rsidRPr="00EE7434">
        <w:rPr>
          <w:i/>
          <w:iCs/>
        </w:rPr>
        <w:t>Journal of Economic Dynamics and Control</w:t>
      </w:r>
      <w:r w:rsidRPr="00EE7434">
        <w:t>, </w:t>
      </w:r>
      <w:r w:rsidRPr="00EE7434">
        <w:rPr>
          <w:i/>
          <w:iCs/>
        </w:rPr>
        <w:t>26</w:t>
      </w:r>
      <w:r w:rsidRPr="00EE7434">
        <w:t>(4), pp.577-609.</w:t>
      </w:r>
    </w:p>
    <w:p w14:paraId="5133E5B3" w14:textId="77777777" w:rsidR="000B348D" w:rsidRPr="00EE7434" w:rsidRDefault="000B348D" w:rsidP="000B348D">
      <w:pPr>
        <w:jc w:val="both"/>
      </w:pPr>
      <w:r w:rsidRPr="00EE7434">
        <w:t>Wing, I.S., 2004. Computable general equilibrium models and their use in economy-wide policy analysis. </w:t>
      </w:r>
      <w:r w:rsidRPr="00EE7434">
        <w:rPr>
          <w:i/>
          <w:iCs/>
        </w:rPr>
        <w:t>Technical Note, Joint Program on the Science and Policy of Global Change, MIT</w:t>
      </w:r>
      <w:r w:rsidRPr="00EE7434">
        <w:t>.</w:t>
      </w:r>
    </w:p>
    <w:p w14:paraId="4EFFE3DC" w14:textId="77777777" w:rsidR="000B348D" w:rsidRPr="00EE7434" w:rsidRDefault="000B348D" w:rsidP="000B348D">
      <w:pPr>
        <w:jc w:val="both"/>
      </w:pPr>
      <w:r w:rsidRPr="00EE7434">
        <w:t>Van der Mensbrugghe, D., 2005. Linkage technical reference document. </w:t>
      </w:r>
      <w:r w:rsidRPr="00EE7434">
        <w:rPr>
          <w:i/>
          <w:iCs/>
        </w:rPr>
        <w:t>Development Prospects Group, The World Bank</w:t>
      </w:r>
      <w:r w:rsidRPr="00EE7434">
        <w:t>.</w:t>
      </w:r>
    </w:p>
    <w:p w14:paraId="49D554F9" w14:textId="77777777" w:rsidR="000B348D" w:rsidRPr="00EE7434" w:rsidRDefault="000B348D" w:rsidP="000B348D">
      <w:pPr>
        <w:jc w:val="both"/>
      </w:pPr>
      <w:r w:rsidRPr="00EE7434">
        <w:t>IEA (International Energy Agency). (2021). Net Zero by 2050: A Roadmap for the Global Energy Sector. Paris: IEA.</w:t>
      </w:r>
    </w:p>
    <w:p w14:paraId="1829BD6F" w14:textId="77777777" w:rsidR="000B348D" w:rsidRPr="00EE7434" w:rsidRDefault="000B348D" w:rsidP="000B348D">
      <w:pPr>
        <w:jc w:val="both"/>
      </w:pPr>
      <w:r w:rsidRPr="00EE7434">
        <w:t xml:space="preserve">Faehn, T., Bachner, G., Beach, R., Chateau, J., Fujimori, S.I., Ghosh, M., Hamdi-Cherif, M., Lanzi, E., </w:t>
      </w:r>
      <w:proofErr w:type="spellStart"/>
      <w:r w:rsidRPr="00EE7434">
        <w:t>Paltsev</w:t>
      </w:r>
      <w:proofErr w:type="spellEnd"/>
      <w:r w:rsidRPr="00EE7434">
        <w:t>, S.V., Vandyck, T. and Cunha, B., 2020. </w:t>
      </w:r>
      <w:r w:rsidRPr="00EE7434">
        <w:rPr>
          <w:i/>
          <w:iCs/>
        </w:rPr>
        <w:t>Capturing key energy and emission trends in CGE models: Assessment of status and remaining challenges</w:t>
      </w:r>
      <w:r w:rsidRPr="00EE7434">
        <w:t> (No. 936). Discussion Papers.</w:t>
      </w:r>
    </w:p>
    <w:p w14:paraId="42A9DF2A" w14:textId="32F5EF2A" w:rsidR="00C00D44" w:rsidRPr="00EE7434" w:rsidRDefault="00C00D44" w:rsidP="00C00D44">
      <w:pPr>
        <w:jc w:val="both"/>
      </w:pPr>
      <w:r w:rsidRPr="00EE7434">
        <w:t>Pindyck, R.S., 2017. The use and misuse of models for climate policy. </w:t>
      </w:r>
      <w:r w:rsidRPr="00EE7434">
        <w:rPr>
          <w:i/>
          <w:iCs/>
        </w:rPr>
        <w:t>Review of Environmental Economics and Policy</w:t>
      </w:r>
      <w:r w:rsidRPr="00EE7434">
        <w:t>.</w:t>
      </w:r>
    </w:p>
    <w:p w14:paraId="23C45B45" w14:textId="77777777" w:rsidR="000B348D" w:rsidRPr="00EE7434" w:rsidRDefault="000B348D" w:rsidP="00B1541D">
      <w:pPr>
        <w:jc w:val="both"/>
      </w:pPr>
    </w:p>
    <w:p w14:paraId="7660279A" w14:textId="77777777" w:rsidR="00B1541D" w:rsidRPr="00EE7434" w:rsidRDefault="00B1541D" w:rsidP="00764553">
      <w:pPr>
        <w:jc w:val="both"/>
      </w:pPr>
    </w:p>
    <w:p w14:paraId="6E85B128" w14:textId="77777777" w:rsidR="003A5156" w:rsidRPr="00EE7434" w:rsidRDefault="003A5156" w:rsidP="001F0171">
      <w:pPr>
        <w:jc w:val="both"/>
      </w:pPr>
    </w:p>
    <w:p w14:paraId="385281F5" w14:textId="77777777" w:rsidR="0043745F" w:rsidRPr="00EE7434" w:rsidRDefault="0043745F" w:rsidP="0043745F">
      <w:pPr>
        <w:jc w:val="both"/>
      </w:pPr>
    </w:p>
    <w:p w14:paraId="015B73FF" w14:textId="77777777" w:rsidR="000C2290" w:rsidRPr="00EE7434" w:rsidRDefault="000C2290" w:rsidP="004B57FE"/>
    <w:p w14:paraId="14DED627" w14:textId="77777777" w:rsidR="00A82632" w:rsidRPr="00EE7434" w:rsidRDefault="00A82632" w:rsidP="00A82632"/>
    <w:p w14:paraId="1DF65DB0" w14:textId="77777777" w:rsidR="00A82632" w:rsidRPr="00EE7434" w:rsidRDefault="00A82632" w:rsidP="00A82632">
      <w:pPr>
        <w:rPr>
          <w:b/>
          <w:bCs/>
        </w:rPr>
      </w:pPr>
    </w:p>
    <w:sectPr w:rsidR="00A82632" w:rsidRPr="00EE743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025DB" w14:textId="77777777" w:rsidR="00B46478" w:rsidRDefault="00B46478" w:rsidP="00CD6953">
      <w:pPr>
        <w:spacing w:after="0" w:line="240" w:lineRule="auto"/>
      </w:pPr>
      <w:r>
        <w:separator/>
      </w:r>
    </w:p>
  </w:endnote>
  <w:endnote w:type="continuationSeparator" w:id="0">
    <w:p w14:paraId="409AD6E0" w14:textId="77777777" w:rsidR="00B46478" w:rsidRDefault="00B46478" w:rsidP="00CD6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561B5" w14:textId="77777777" w:rsidR="00B46478" w:rsidRDefault="00B46478" w:rsidP="00CD6953">
      <w:pPr>
        <w:spacing w:after="0" w:line="240" w:lineRule="auto"/>
      </w:pPr>
      <w:r>
        <w:separator/>
      </w:r>
    </w:p>
  </w:footnote>
  <w:footnote w:type="continuationSeparator" w:id="0">
    <w:p w14:paraId="3B39CE1D" w14:textId="77777777" w:rsidR="00B46478" w:rsidRDefault="00B46478" w:rsidP="00CD69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5A6FAC"/>
    <w:multiLevelType w:val="hybridMultilevel"/>
    <w:tmpl w:val="EF66E402"/>
    <w:lvl w:ilvl="0" w:tplc="5A307AC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F937D6"/>
    <w:multiLevelType w:val="hybridMultilevel"/>
    <w:tmpl w:val="108070DE"/>
    <w:lvl w:ilvl="0" w:tplc="78C0EA7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8E5505"/>
    <w:multiLevelType w:val="hybridMultilevel"/>
    <w:tmpl w:val="DA38323A"/>
    <w:lvl w:ilvl="0" w:tplc="5A307AC8">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FCE7367"/>
    <w:multiLevelType w:val="hybridMultilevel"/>
    <w:tmpl w:val="31F27206"/>
    <w:lvl w:ilvl="0" w:tplc="5A307AC8">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290493D"/>
    <w:multiLevelType w:val="hybridMultilevel"/>
    <w:tmpl w:val="5FC6BCAA"/>
    <w:lvl w:ilvl="0" w:tplc="D48EC67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3B11E4"/>
    <w:multiLevelType w:val="hybridMultilevel"/>
    <w:tmpl w:val="04AA5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48365C9"/>
    <w:multiLevelType w:val="hybridMultilevel"/>
    <w:tmpl w:val="45AE83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C6567AC"/>
    <w:multiLevelType w:val="hybridMultilevel"/>
    <w:tmpl w:val="2D3A53BC"/>
    <w:lvl w:ilvl="0" w:tplc="C2D4B58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359224A"/>
    <w:multiLevelType w:val="hybridMultilevel"/>
    <w:tmpl w:val="4DA64CCC"/>
    <w:lvl w:ilvl="0" w:tplc="171AC3A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BB5582C"/>
    <w:multiLevelType w:val="hybridMultilevel"/>
    <w:tmpl w:val="8A984CFC"/>
    <w:lvl w:ilvl="0" w:tplc="0409000B">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E6739CE"/>
    <w:multiLevelType w:val="hybridMultilevel"/>
    <w:tmpl w:val="64105114"/>
    <w:lvl w:ilvl="0" w:tplc="171AC3A4">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3FFA219F"/>
    <w:multiLevelType w:val="hybridMultilevel"/>
    <w:tmpl w:val="FF120F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1CE42A5"/>
    <w:multiLevelType w:val="hybridMultilevel"/>
    <w:tmpl w:val="EEE20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0264C0"/>
    <w:multiLevelType w:val="multilevel"/>
    <w:tmpl w:val="2312D060"/>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48E07C94"/>
    <w:multiLevelType w:val="hybridMultilevel"/>
    <w:tmpl w:val="C904378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4C5631F0"/>
    <w:multiLevelType w:val="hybridMultilevel"/>
    <w:tmpl w:val="0F9AFD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7142BB0"/>
    <w:multiLevelType w:val="hybridMultilevel"/>
    <w:tmpl w:val="911C53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943059F"/>
    <w:multiLevelType w:val="hybridMultilevel"/>
    <w:tmpl w:val="ECB0E01E"/>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6B056F12"/>
    <w:multiLevelType w:val="hybridMultilevel"/>
    <w:tmpl w:val="E4844DCC"/>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6D494E8D"/>
    <w:multiLevelType w:val="hybridMultilevel"/>
    <w:tmpl w:val="938A8C06"/>
    <w:lvl w:ilvl="0" w:tplc="5A307AC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E8497B"/>
    <w:multiLevelType w:val="hybridMultilevel"/>
    <w:tmpl w:val="7E34F1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B525E13"/>
    <w:multiLevelType w:val="hybridMultilevel"/>
    <w:tmpl w:val="AA1A4820"/>
    <w:lvl w:ilvl="0" w:tplc="5A307AC8">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CDE25B8"/>
    <w:multiLevelType w:val="hybridMultilevel"/>
    <w:tmpl w:val="815E93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D1033DA"/>
    <w:multiLevelType w:val="hybridMultilevel"/>
    <w:tmpl w:val="C51C61B8"/>
    <w:lvl w:ilvl="0" w:tplc="5A307AC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9417114">
    <w:abstractNumId w:val="8"/>
  </w:num>
  <w:num w:numId="2" w16cid:durableId="1920752522">
    <w:abstractNumId w:val="6"/>
  </w:num>
  <w:num w:numId="3" w16cid:durableId="1129977613">
    <w:abstractNumId w:val="5"/>
  </w:num>
  <w:num w:numId="4" w16cid:durableId="2030909924">
    <w:abstractNumId w:val="4"/>
  </w:num>
  <w:num w:numId="5" w16cid:durableId="329529699">
    <w:abstractNumId w:val="7"/>
  </w:num>
  <w:num w:numId="6" w16cid:durableId="514929230">
    <w:abstractNumId w:val="3"/>
  </w:num>
  <w:num w:numId="7" w16cid:durableId="1820001807">
    <w:abstractNumId w:val="2"/>
  </w:num>
  <w:num w:numId="8" w16cid:durableId="749666731">
    <w:abstractNumId w:val="1"/>
  </w:num>
  <w:num w:numId="9" w16cid:durableId="517888839">
    <w:abstractNumId w:val="0"/>
  </w:num>
  <w:num w:numId="10" w16cid:durableId="1756508090">
    <w:abstractNumId w:val="15"/>
  </w:num>
  <w:num w:numId="11" w16cid:durableId="1498109986">
    <w:abstractNumId w:val="24"/>
  </w:num>
  <w:num w:numId="12" w16cid:durableId="1371223692">
    <w:abstractNumId w:val="18"/>
  </w:num>
  <w:num w:numId="13" w16cid:durableId="1257445450">
    <w:abstractNumId w:val="27"/>
  </w:num>
  <w:num w:numId="14" w16cid:durableId="2140954425">
    <w:abstractNumId w:val="23"/>
  </w:num>
  <w:num w:numId="15" w16cid:durableId="1220825134">
    <w:abstractNumId w:val="20"/>
  </w:num>
  <w:num w:numId="16" w16cid:durableId="189881105">
    <w:abstractNumId w:val="25"/>
  </w:num>
  <w:num w:numId="17" w16cid:durableId="1482044502">
    <w:abstractNumId w:val="26"/>
  </w:num>
  <w:num w:numId="18" w16cid:durableId="1679889983">
    <w:abstractNumId w:val="17"/>
  </w:num>
  <w:num w:numId="19" w16cid:durableId="1467511037">
    <w:abstractNumId w:val="31"/>
  </w:num>
  <w:num w:numId="20" w16cid:durableId="1440220388">
    <w:abstractNumId w:val="10"/>
  </w:num>
  <w:num w:numId="21" w16cid:durableId="1665550600">
    <w:abstractNumId w:val="29"/>
  </w:num>
  <w:num w:numId="22" w16cid:durableId="401104260">
    <w:abstractNumId w:val="13"/>
  </w:num>
  <w:num w:numId="23" w16cid:durableId="133262206">
    <w:abstractNumId w:val="14"/>
  </w:num>
  <w:num w:numId="24" w16cid:durableId="1486320221">
    <w:abstractNumId w:val="32"/>
  </w:num>
  <w:num w:numId="25" w16cid:durableId="701592803">
    <w:abstractNumId w:val="9"/>
  </w:num>
  <w:num w:numId="26" w16cid:durableId="873887397">
    <w:abstractNumId w:val="16"/>
  </w:num>
  <w:num w:numId="27" w16cid:durableId="1789659365">
    <w:abstractNumId w:val="30"/>
  </w:num>
  <w:num w:numId="28" w16cid:durableId="704059334">
    <w:abstractNumId w:val="22"/>
  </w:num>
  <w:num w:numId="29" w16cid:durableId="564414998">
    <w:abstractNumId w:val="21"/>
  </w:num>
  <w:num w:numId="30" w16cid:durableId="1031734361">
    <w:abstractNumId w:val="11"/>
  </w:num>
  <w:num w:numId="31" w16cid:durableId="694573714">
    <w:abstractNumId w:val="28"/>
  </w:num>
  <w:num w:numId="32" w16cid:durableId="1869292632">
    <w:abstractNumId w:val="12"/>
  </w:num>
  <w:num w:numId="33" w16cid:durableId="170154078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08C"/>
    <w:rsid w:val="00034616"/>
    <w:rsid w:val="0006063C"/>
    <w:rsid w:val="00074ED4"/>
    <w:rsid w:val="000A3B06"/>
    <w:rsid w:val="000B348D"/>
    <w:rsid w:val="000B5146"/>
    <w:rsid w:val="000C026E"/>
    <w:rsid w:val="000C2290"/>
    <w:rsid w:val="000C24D5"/>
    <w:rsid w:val="001316FD"/>
    <w:rsid w:val="00136919"/>
    <w:rsid w:val="00136951"/>
    <w:rsid w:val="00141BCC"/>
    <w:rsid w:val="0015074B"/>
    <w:rsid w:val="0016198F"/>
    <w:rsid w:val="001625A1"/>
    <w:rsid w:val="001630D9"/>
    <w:rsid w:val="00173AD2"/>
    <w:rsid w:val="001742B4"/>
    <w:rsid w:val="00180D73"/>
    <w:rsid w:val="0018108D"/>
    <w:rsid w:val="00183CCA"/>
    <w:rsid w:val="001842CF"/>
    <w:rsid w:val="001A55D7"/>
    <w:rsid w:val="001B12EB"/>
    <w:rsid w:val="001B3B6A"/>
    <w:rsid w:val="001B7E5D"/>
    <w:rsid w:val="001C0B00"/>
    <w:rsid w:val="001D1E2E"/>
    <w:rsid w:val="001F0171"/>
    <w:rsid w:val="001F104E"/>
    <w:rsid w:val="00200F0E"/>
    <w:rsid w:val="0022464E"/>
    <w:rsid w:val="00235A2B"/>
    <w:rsid w:val="00251906"/>
    <w:rsid w:val="00261A27"/>
    <w:rsid w:val="0027042D"/>
    <w:rsid w:val="0029639D"/>
    <w:rsid w:val="00296FE4"/>
    <w:rsid w:val="002A0EC7"/>
    <w:rsid w:val="002C04E3"/>
    <w:rsid w:val="002C5DA3"/>
    <w:rsid w:val="002D7347"/>
    <w:rsid w:val="002E2200"/>
    <w:rsid w:val="002E4EC9"/>
    <w:rsid w:val="002F4323"/>
    <w:rsid w:val="002F7F39"/>
    <w:rsid w:val="003163C3"/>
    <w:rsid w:val="00326F90"/>
    <w:rsid w:val="0032797E"/>
    <w:rsid w:val="003A5156"/>
    <w:rsid w:val="003B6432"/>
    <w:rsid w:val="003D7A05"/>
    <w:rsid w:val="003F2C54"/>
    <w:rsid w:val="0040279C"/>
    <w:rsid w:val="00402A50"/>
    <w:rsid w:val="00403E37"/>
    <w:rsid w:val="00406D37"/>
    <w:rsid w:val="00433498"/>
    <w:rsid w:val="004350BB"/>
    <w:rsid w:val="0043745F"/>
    <w:rsid w:val="0045032B"/>
    <w:rsid w:val="00450E40"/>
    <w:rsid w:val="00464C56"/>
    <w:rsid w:val="00466F51"/>
    <w:rsid w:val="00467D19"/>
    <w:rsid w:val="00473B84"/>
    <w:rsid w:val="0047439A"/>
    <w:rsid w:val="004844F3"/>
    <w:rsid w:val="004A3CDC"/>
    <w:rsid w:val="004B57FE"/>
    <w:rsid w:val="004D7726"/>
    <w:rsid w:val="00507E9A"/>
    <w:rsid w:val="005113EA"/>
    <w:rsid w:val="0051761A"/>
    <w:rsid w:val="00525C4D"/>
    <w:rsid w:val="005307F1"/>
    <w:rsid w:val="00536A71"/>
    <w:rsid w:val="005558D5"/>
    <w:rsid w:val="005777BB"/>
    <w:rsid w:val="005A4704"/>
    <w:rsid w:val="005A5DD9"/>
    <w:rsid w:val="005C01E6"/>
    <w:rsid w:val="006153B9"/>
    <w:rsid w:val="00620D8E"/>
    <w:rsid w:val="00622822"/>
    <w:rsid w:val="006267D1"/>
    <w:rsid w:val="00672CCE"/>
    <w:rsid w:val="006904AF"/>
    <w:rsid w:val="00691B95"/>
    <w:rsid w:val="00697834"/>
    <w:rsid w:val="006C7B75"/>
    <w:rsid w:val="006E30C7"/>
    <w:rsid w:val="006E7EF0"/>
    <w:rsid w:val="007000E3"/>
    <w:rsid w:val="00710D75"/>
    <w:rsid w:val="00732E3E"/>
    <w:rsid w:val="00744ABB"/>
    <w:rsid w:val="00753A55"/>
    <w:rsid w:val="00754143"/>
    <w:rsid w:val="0075414E"/>
    <w:rsid w:val="00764553"/>
    <w:rsid w:val="00767D57"/>
    <w:rsid w:val="00783E66"/>
    <w:rsid w:val="007A5F19"/>
    <w:rsid w:val="007A6F95"/>
    <w:rsid w:val="007C1614"/>
    <w:rsid w:val="007F33A4"/>
    <w:rsid w:val="00804D4B"/>
    <w:rsid w:val="008160D8"/>
    <w:rsid w:val="0084497C"/>
    <w:rsid w:val="00857A03"/>
    <w:rsid w:val="008627C1"/>
    <w:rsid w:val="00864E51"/>
    <w:rsid w:val="00893E94"/>
    <w:rsid w:val="0089415D"/>
    <w:rsid w:val="00896DD4"/>
    <w:rsid w:val="00897B74"/>
    <w:rsid w:val="008A13B6"/>
    <w:rsid w:val="008D2442"/>
    <w:rsid w:val="008D6B5A"/>
    <w:rsid w:val="009176A4"/>
    <w:rsid w:val="00984155"/>
    <w:rsid w:val="009859FA"/>
    <w:rsid w:val="009A2033"/>
    <w:rsid w:val="00A05802"/>
    <w:rsid w:val="00A078BE"/>
    <w:rsid w:val="00A45EE9"/>
    <w:rsid w:val="00A82632"/>
    <w:rsid w:val="00A939B5"/>
    <w:rsid w:val="00AA0420"/>
    <w:rsid w:val="00AA13DE"/>
    <w:rsid w:val="00AA1D8D"/>
    <w:rsid w:val="00AB6C11"/>
    <w:rsid w:val="00AC4C98"/>
    <w:rsid w:val="00AD02E0"/>
    <w:rsid w:val="00AD6F44"/>
    <w:rsid w:val="00AF6813"/>
    <w:rsid w:val="00B1541D"/>
    <w:rsid w:val="00B157F5"/>
    <w:rsid w:val="00B31B6C"/>
    <w:rsid w:val="00B46478"/>
    <w:rsid w:val="00B47730"/>
    <w:rsid w:val="00B57E1D"/>
    <w:rsid w:val="00B676B8"/>
    <w:rsid w:val="00B67EC4"/>
    <w:rsid w:val="00B72741"/>
    <w:rsid w:val="00B80BAA"/>
    <w:rsid w:val="00B968A3"/>
    <w:rsid w:val="00BA2587"/>
    <w:rsid w:val="00BA469C"/>
    <w:rsid w:val="00BA7280"/>
    <w:rsid w:val="00BB2057"/>
    <w:rsid w:val="00BC4C2A"/>
    <w:rsid w:val="00BD26AC"/>
    <w:rsid w:val="00BF1BBA"/>
    <w:rsid w:val="00C00D44"/>
    <w:rsid w:val="00C01485"/>
    <w:rsid w:val="00C05F60"/>
    <w:rsid w:val="00C06AA7"/>
    <w:rsid w:val="00C2418C"/>
    <w:rsid w:val="00C4646E"/>
    <w:rsid w:val="00C50061"/>
    <w:rsid w:val="00C5104A"/>
    <w:rsid w:val="00C61A7A"/>
    <w:rsid w:val="00C81A7F"/>
    <w:rsid w:val="00C952AC"/>
    <w:rsid w:val="00CB0664"/>
    <w:rsid w:val="00CB72C0"/>
    <w:rsid w:val="00CD11A7"/>
    <w:rsid w:val="00CD27F5"/>
    <w:rsid w:val="00CD6953"/>
    <w:rsid w:val="00D01445"/>
    <w:rsid w:val="00D029A6"/>
    <w:rsid w:val="00D40715"/>
    <w:rsid w:val="00D40D31"/>
    <w:rsid w:val="00D41210"/>
    <w:rsid w:val="00DA67DB"/>
    <w:rsid w:val="00DB1A4C"/>
    <w:rsid w:val="00DC36D0"/>
    <w:rsid w:val="00DC7090"/>
    <w:rsid w:val="00DD4FF3"/>
    <w:rsid w:val="00DD5B31"/>
    <w:rsid w:val="00E11F30"/>
    <w:rsid w:val="00E428BE"/>
    <w:rsid w:val="00E539C7"/>
    <w:rsid w:val="00E938F5"/>
    <w:rsid w:val="00EC6612"/>
    <w:rsid w:val="00ED0FFC"/>
    <w:rsid w:val="00EE1610"/>
    <w:rsid w:val="00EE7434"/>
    <w:rsid w:val="00EF62ED"/>
    <w:rsid w:val="00F15E0F"/>
    <w:rsid w:val="00F229C2"/>
    <w:rsid w:val="00F44B50"/>
    <w:rsid w:val="00F50DF6"/>
    <w:rsid w:val="00F658D4"/>
    <w:rsid w:val="00F702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4204B87-5CBA-4412-A79B-FD9EE47F8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8160D8"/>
    <w:rPr>
      <w:color w:val="666666"/>
    </w:rPr>
  </w:style>
  <w:style w:type="paragraph" w:styleId="NormalWeb">
    <w:name w:val="Normal (Web)"/>
    <w:basedOn w:val="Normal"/>
    <w:uiPriority w:val="99"/>
    <w:semiHidden/>
    <w:unhideWhenUsed/>
    <w:rsid w:val="00CD11A7"/>
    <w:pPr>
      <w:spacing w:before="100" w:beforeAutospacing="1" w:after="100" w:afterAutospacing="1" w:line="240" w:lineRule="auto"/>
    </w:pPr>
    <w:rPr>
      <w:rFonts w:cs="Times New Roman"/>
      <w:szCs w:val="24"/>
      <w:lang w:val="en-US" w:eastAsia="zh-CN"/>
    </w:rPr>
  </w:style>
  <w:style w:type="character" w:customStyle="1" w:styleId="equation-number">
    <w:name w:val="equation-number"/>
    <w:basedOn w:val="DefaultParagraphFont"/>
    <w:rsid w:val="00C510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6928</Words>
  <Characters>39490</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b.jammeh@campus.unimib.it</cp:lastModifiedBy>
  <cp:revision>196</cp:revision>
  <dcterms:created xsi:type="dcterms:W3CDTF">2013-12-23T23:15:00Z</dcterms:created>
  <dcterms:modified xsi:type="dcterms:W3CDTF">2025-11-25T05:13:00Z</dcterms:modified>
  <cp:category/>
</cp:coreProperties>
</file>