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Literature Review</w:t>
      </w:r>
    </w:p>
    <w:p>
      <w:r>
        <w:t>The CGE-I5 model builds upon a rich literature spanning computable general equilibrium modeling, energy-economy-environment interactions, and climate policy analysis. This section reviews the key theoretical and empirical contributions that inform the model's design and implementation.</w:t>
      </w:r>
    </w:p>
    <w:p>
      <w:pPr>
        <w:pStyle w:val="Heading1"/>
      </w:pPr>
      <w:r>
        <w:t>3.1. Computable General Equilibrium Modeling Framework</w:t>
      </w:r>
    </w:p>
    <w:p>
      <w:r>
        <w:t>Computable General Equilibrium (CGE) models have become the standard tool for economy-wide policy analysis, providing a coherent framework for capturing complex interactions between markets, sectors, and economic agents. The theoretical foundations of CGE modeling trace back to Walras (1874) and the Arrow-Debreu general equilibrium theory (Arrow &amp; Debreu, 1954), which demonstrates the existence of competitive equilibrium under specific conditions.</w:t>
      </w:r>
    </w:p>
    <w:p>
      <w:r>
        <w:t>Modern applied CGE modeling was pioneered by Johansen (1960) and further developed by Scarf (1967), who introduced computational algorithms for solving large-scale general equilibrium systems. The application of CGE models to developing countries and policy analysis was advanced significantly by Dervis, de Melo, and Robinson (1982), establishing best practices for model structure and calibration.</w:t>
      </w:r>
    </w:p>
    <w:p>
      <w:r>
        <w:t>Lofgren, Harris, and Robinson (2002) provide a comprehensive standard CGE model framework that has influenced numerous applications, including the present work. Their formulation emphasizes the importance of Social Accounting Matrices (SAMs) for calibration and the use of flexible functional forms, particularly Constant Elasticity of Substitution (CES) functions, to represent production and consumption behavior.</w:t>
      </w:r>
    </w:p>
    <w:p>
      <w:r>
        <w:t>For regional and multi-regional CGE models, Dixon and Parmenter (1996) and Partridge and Rickman (2010) demonstrate the importance of capturing spatial heterogeneity in economic structure and factor markets. Their work highlights how regional models can identify distributional impacts that are obscured in national aggregate models.</w:t>
      </w:r>
    </w:p>
    <w:p>
      <w:pPr>
        <w:pStyle w:val="Heading1"/>
      </w:pPr>
      <w:r>
        <w:t>3.2. Energy-Economy-Environment CGE Models</w:t>
      </w:r>
    </w:p>
    <w:p>
      <w:r>
        <w:t>The integration of energy and environmental modules into CGE frameworks represents a major strand of literature relevant to climate policy analysis. Burniaux and Truong (2002) developed the GTAP-E model, which extends the Global Trade Analysis Project (GTAP) model with detailed energy sectors and CO₂ emissions tracking. Their nested production structure, with explicit representation of energy-capital complementarity, has become a standard approach in energy-CGE models.</w:t>
      </w:r>
    </w:p>
    <w:p>
      <w:r>
        <w:t>The Multi-sector Multi-region Macro-econometric Model (ThreeME), developed by Callonnec et al. (2013) and refined by Reynès et al. (2019), provides a particularly relevant reference for the CGE-I5 model. ThreeME combines CGE modeling with dynamic econometric estimation and detailed energy sector disaggregation. Key features adopted in CGE-I5 include:</w:t>
      </w:r>
    </w:p>
    <w:p>
      <w:pPr>
        <w:pStyle w:val="ListBullet"/>
      </w:pPr>
      <w:r>
        <w:t>Nested CES production functions with Capital-Labor-Energy-Materials (KLEM) structure</w:t>
      </w:r>
    </w:p>
    <w:p>
      <w:pPr>
        <w:pStyle w:val="ListBullet"/>
      </w:pPr>
      <w:r>
        <w:t>Autonomous Energy Efficiency Improvements (AEEI) to capture technological progress</w:t>
      </w:r>
    </w:p>
    <w:p>
      <w:pPr>
        <w:pStyle w:val="ListBullet"/>
      </w:pPr>
      <w:r>
        <w:t>Detailed representation of electricity generation by technology (renewables, fossil fuels)</w:t>
      </w:r>
    </w:p>
    <w:p>
      <w:pPr>
        <w:pStyle w:val="ListBullet"/>
      </w:pPr>
      <w:r>
        <w:t>Recursive dynamic framework with forward-looking investment decisions</w:t>
      </w:r>
    </w:p>
    <w:p>
      <w:pPr>
        <w:pStyle w:val="ListBullet"/>
      </w:pPr>
      <w:r>
        <w:t>Energy demand disaggregated by sector and energy carrier</w:t>
      </w:r>
    </w:p>
    <w:p>
      <w:r>
        <w:t>Böhringer and Rutherford (2008) provide important insights on representing environmental policy constraints in CGE models, particularly the treatment of emissions permits and carbon pricing mechanisms. Their analysis of the EU ETS demonstrates the importance of modeling allowance allocation methods and banking/borrowing provisions.</w:t>
      </w:r>
    </w:p>
    <w:p>
      <w:r>
        <w:t>The PRIMES model (Capros et al., 2013), widely used for EU energy policy analysis, offers a detailed bottom-up representation of energy technologies that complements top-down CGE approaches. The CGE-I5 model adopts a hybrid approach, using PRIMES-derived energy technology parameters while maintaining the general equilibrium framework.</w:t>
      </w:r>
    </w:p>
    <w:p>
      <w:pPr>
        <w:pStyle w:val="Heading1"/>
      </w:pPr>
      <w:r>
        <w:t>3.3. Climate Policy and Carbon Pricing Literature</w:t>
      </w:r>
    </w:p>
    <w:p>
      <w:r>
        <w:t>The economic analysis of carbon pricing mechanisms has evolved considerably since Pigou's (1920) foundational work on externalities and corrective taxation. Nordhaus (1991, 2008, 2017) has been instrumental in developing integrated assessment models (IAMs) that link economic growth, emissions, climate change, and damages, providing a framework for determining optimal carbon prices. His DICE (Dynamic Integrated Climate-Economy) model demonstrates the importance of intertemporal optimization in climate policy design.</w:t>
      </w:r>
    </w:p>
    <w:p>
      <w:r>
        <w:t>The EU ETS, as the world's largest carbon market, has generated substantial research on market-based climate policy. Ellerman, Convery, and de Perthuis (2010) provide a comprehensive assessment of the first phase of the EU ETS, highlighting lessons on allowance allocation, price volatility, and market efficiency. Subsequent work by Perino and Willner (2016) and Bruninx et al. (2020) analyzes the Market Stability Reserve (MSR) introduced in Phase 4, which is explicitly modeled in the CGE-I5 framework.</w:t>
      </w:r>
    </w:p>
    <w:p>
      <w:r>
        <w:t>The proposed extension of the EU ETS to buildings and transport (ETS2) has been analyzed by Flachsland et al. (2020) and Edenhofer et al. (2021), who examine the implications for distributional impacts and social acceptability. Their findings emphasize the need for complementary policies, including social measures and targeted support for vulnerable households—considerations incorporated into the CGE-I5 policy scenarios.</w:t>
      </w:r>
    </w:p>
    <w:p>
      <w:r>
        <w:t>Goulder (1995) and Parry and Williams (1999) establish the theoretical foundation for revenue recycling in carbon taxation, demonstrating how returning carbon revenues through reduced distortionary taxes can achieve a "double dividend" of environmental improvement and economic efficiency gains. The CGE-I5 model implements several revenue recycling mechanisms informed by this literature.</w:t>
      </w:r>
    </w:p>
    <w:p>
      <w:pPr>
        <w:pStyle w:val="Heading1"/>
      </w:pPr>
      <w:r>
        <w:t>3.4. Energy Transition and Renewable Energy Integration</w:t>
      </w:r>
    </w:p>
    <w:p>
      <w:r>
        <w:t>The literature on energy transitions provides crucial insights for modeling the shift toward renewable energy systems. Grubb, Hourcade, and Neuhoff (2014) analyze the "energy transitions paradox," where long-term decarbonization goals require near-term investments despite policy uncertainty. Their work informs the CGE-I5 model's treatment of renewable energy investment under alternative policy scenarios.</w:t>
      </w:r>
    </w:p>
    <w:p>
      <w:r>
        <w:t>Creutzig et al. (2017) and IRENA (2019) document the dramatic cost reductions in solar and wind technologies, which have fundamentally altered the economics of decarbonization. These cost trajectories are incorporated into the CGE-I5 model's renewable energy investment functions and technology choice mechanisms.</w:t>
      </w:r>
    </w:p>
    <w:p>
      <w:r>
        <w:t>The integration of variable renewable energy (VRE) into power systems presents technical and economic challenges analyzed by Hirth, Ueckerdt, and Edenhofer (2015) and Joskow (2011). While the CGE-I5 model does not explicitly model electricity dispatch and system operations, it incorporates effective capacity values and system integration costs based on this literature.</w:t>
      </w:r>
    </w:p>
    <w:p>
      <w:r>
        <w:t>Jacobson et al. (2017) and Brown et al. (2018) explore pathways to 100% renewable energy systems, demonstrating technical feasibility while acknowledging economic and institutional challenges. The CGE-I5 model's high renewable penetration scenarios (&gt;90% by 2040 under ETS2) are informed by these technical assessments.</w:t>
      </w:r>
    </w:p>
    <w:p>
      <w:pPr>
        <w:pStyle w:val="Heading1"/>
      </w:pPr>
      <w:r>
        <w:t>3.5. Regional and Distributional Impacts of Climate Policy</w:t>
      </w:r>
    </w:p>
    <w:p>
      <w:r>
        <w:t>The distributional impacts of climate policy have received increasing attention in recent years, particularly concerns about "just transitions" and regional equity. Bauer et al. (2020) and Hirth and Steckel (2016) demonstrate how carbon pricing can disproportionately affect lower-income households and regions dependent on carbon-intensive industries.</w:t>
      </w:r>
    </w:p>
    <w:p>
      <w:r>
        <w:t>For Italy specifically, Antonioli and Mazzanti (2017) analyze regional disparities in environmental performance and the implications for climate policy design. Their work highlights the structural differences between Northern and Southern Italy, including industrial composition, energy efficiency, and adaptive capacity—factors explicitly represented in the CGE-I5 regional disaggregation.</w:t>
      </w:r>
    </w:p>
    <w:p>
      <w:r>
        <w:t>Maestre-Andrés, Drews, and van den Bergh (2019) review public acceptability of carbon taxes and identify revenue recycling through social transfers as crucial for political feasibility. The CGE-I5 model's policy scenarios incorporate region-specific support mechanisms, particularly for Southern Italy and the Islands, informed by these insights.</w:t>
      </w:r>
    </w:p>
    <w:p>
      <w:r>
        <w:t>The concept of "just transition," emphasized by the International Labour Organization (ILO, 2015) and incorporated into EU policy frameworks, requires attention to employment effects and regional development impacts. Hafstead and Williams (2020) provide analytical frameworks for assessing labor market transitions, which inform the CGE-I5 model's labor market module.</w:t>
      </w:r>
    </w:p>
    <w:p>
      <w:pPr>
        <w:pStyle w:val="Heading1"/>
      </w:pPr>
      <w:r>
        <w:t>3.6. Italian Energy and Climate Policy Context</w:t>
      </w:r>
    </w:p>
    <w:p>
      <w:r>
        <w:t>Italy's National Energy and Climate Plan (NECP) sets forth ambitious targets for 2030, including 30% reduction in greenhouse gas emissions (compared to 2005) and 30% renewable energy share in final energy consumption (MISE, 2019). The CGE-I5 model scenarios are designed to assess pathways consistent with these targets and their extension to 2040.</w:t>
      </w:r>
    </w:p>
    <w:p>
      <w:r>
        <w:t>Gazzetta Ufficiale (2020) outlines Italy's transposition of EU climate and energy directives, including specific provisions for the industrial and power sectors under the EU ETS. The CGE-I5 model's ETS1 scenario explicitly represents these sectoral coverages and compliance obligations.</w:t>
      </w:r>
    </w:p>
    <w:p>
      <w:r>
        <w:t>Recent studies on Italy's decarbonization pathways include Sgobbi et al. (2016), who analyze deep decarbonization scenarios using the TIMES-Italy model, and Giarola et al. (2013), who examine the role of natural gas in Italy's energy transition. These studies provide important cross-validation for the CGE-I5 model's energy system trajectories.</w:t>
      </w:r>
    </w:p>
    <w:p>
      <w:r>
        <w:t>The COVID-19 pandemic and associated economic disruptions have added complexity to energy and climate policy analysis. Studies by Forster et al. (2020) and Le Quéré et al. (2020) document the temporary emissions reductions during lockdowns and the subsequent recovery patterns. While the CGE-I5 base year (2021) represents a partial recovery phase, the model structure is designed to capture longer-term structural transitions rather than short-term shocks.</w:t>
      </w:r>
    </w:p>
    <w:p>
      <w:pPr>
        <w:pStyle w:val="Heading1"/>
      </w:pPr>
      <w:r>
        <w:t>3.7. Recursive Dynamic CGE Modeling</w:t>
      </w:r>
    </w:p>
    <w:p>
      <w:r>
        <w:t>The recursive dynamic approach adopted in the CGE-I5 model follows the tradition established by Lau, Pahlke, and Rutherford (2002) and Robinson and Meijl (2006). Unlike fully dynamic models with intertemporal optimization, recursive dynamic models solve a sequence of static equilibria linked by dynamic updating rules for capital, labor, productivity, and other state variables.</w:t>
      </w:r>
    </w:p>
    <w:p>
      <w:r>
        <w:t>Van der Mensbrugghe (2005) provides a comprehensive treatment of recursive dynamic CGE models in the context of long-run projections, emphasizing the importance of consistent calibration and plausible dynamic parameters. The CGE-I5 model follows his recommendations for capital accumulation (investment-driven with depreciation), labor force evolution (demographic projections), and productivity growth (sector-specific total factor productivity).</w:t>
      </w:r>
    </w:p>
    <w:p>
      <w:r>
        <w:t>Wing (2004) discusses the treatment of energy-economy dynamics in recursive CGE models, particularly the representation of energy efficiency improvements (AEEI) and technological change in the energy sector. The CGE-I5 model adopts an AEEI rate of 1.8% annually, consistent with empirical estimates for advanced economies (IEA, 2020).</w:t>
      </w:r>
    </w:p>
    <w:p>
      <w:r>
        <w:t>Faehn et al. (2020) demonstrate the importance of modeling expectations and policy credibility in recursive dynamic frameworks, particularly for climate policy analysis. While the CGE-I5 model employs myopic expectations (agents base decisions on current and past information), sensitivity analysis explores the implications of alternative expectation formations.</w:t>
      </w:r>
    </w:p>
    <w:p>
      <w:pPr>
        <w:pStyle w:val="Heading1"/>
      </w:pPr>
      <w:r>
        <w:t>3.8. Model Validation and Comparison with Existing Studies</w:t>
      </w:r>
    </w:p>
    <w:p>
      <w:r>
        <w:t>The validation of CGE models against historical data and comparison with alternative modeling approaches is essential for establishing credibility. Scrieciu (2007) and Wing (2004) discuss various validation strategies, including historical validation (backcasting), cross-model comparison, and expert elicitation for key parameters.</w:t>
      </w:r>
    </w:p>
    <w:p>
      <w:r>
        <w:t>For Italian applications, the CGE-I5 model results can be compared with findings from:</w:t>
      </w:r>
    </w:p>
    <w:p>
      <w:pPr>
        <w:pStyle w:val="ListBullet"/>
      </w:pPr>
      <w:r>
        <w:t>TIMES-Italy model (Sgobbi et al., 2016): Bottom-up energy system optimization model providing detailed technology pathways</w:t>
      </w:r>
    </w:p>
    <w:p>
      <w:pPr>
        <w:pStyle w:val="ListBullet"/>
      </w:pPr>
      <w:r>
        <w:t>GTAP-based studies (e.g., Peters &amp; Hertel, 2017): Multi-region global CGE with Italy as a region, offering international trade perspectives</w:t>
      </w:r>
    </w:p>
    <w:p>
      <w:pPr>
        <w:pStyle w:val="ListBullet"/>
      </w:pPr>
      <w:r>
        <w:t>PRIMES-Italy (E3MLab, 2020): Partial equilibrium energy system model used for EU policy analysis</w:t>
      </w:r>
    </w:p>
    <w:p>
      <w:pPr>
        <w:pStyle w:val="ListBullet"/>
      </w:pPr>
      <w:r>
        <w:t>ThreeME-France (Reynès et al., 2019): Similar model structure applied to France, providing methodological insights</w:t>
      </w:r>
    </w:p>
    <w:p>
      <w:r>
        <w:t>Systematic comparison with these models, where comparable scenarios exist, provides confidence bounds for the CGE-I5 projections and highlights areas of model uncertainty or divergence.</w:t>
      </w:r>
    </w:p>
    <w:p>
      <w:pPr>
        <w:pStyle w:val="Heading1"/>
      </w:pPr>
      <w:r>
        <w:t>3.9. Synthesis and Research Gap Addressed by CGE-I5</w:t>
      </w:r>
    </w:p>
    <w:p>
      <w:r>
        <w:t>The literature review reveals a mature body of research on CGE modeling, energy-economy interactions, and climate policy analysis. However, several gaps remain that the CGE-I5 model aims to address:</w:t>
      </w:r>
    </w:p>
    <w:p>
      <w:pPr>
        <w:pStyle w:val="ListBullet"/>
      </w:pPr>
      <w:r>
        <w:t>Limited regional disaggregation in existing Italian CGE models: While national-level models exist, few provide the five-region disaggregation needed to assess distributional impacts across Italy's diverse economic geography.</w:t>
      </w:r>
    </w:p>
    <w:p>
      <w:pPr>
        <w:pStyle w:val="ListBullet"/>
      </w:pPr>
      <w:r>
        <w:t>Incomplete representation of EU ETS Phase 4 and ETS2: Many existing models predate the Market Stability Reserve and proposed buildings/transport extension, limiting their relevance for current policy debates.</w:t>
      </w:r>
    </w:p>
    <w:p>
      <w:pPr>
        <w:pStyle w:val="ListBullet"/>
      </w:pPr>
      <w:r>
        <w:t>Need for integrated assessment of just transition: Combining economic, energy, and regional equity dimensions in a single framework remains challenging, yet essential for comprehensive policy analysis.</w:t>
      </w:r>
    </w:p>
    <w:p>
      <w:pPr>
        <w:pStyle w:val="ListBullet"/>
      </w:pPr>
      <w:r>
        <w:t>Calibration to post-COVID data: Using 2021 as the base year provides a more recent and relevant starting point than models calibrated to 2015 or earlier.</w:t>
      </w:r>
    </w:p>
    <w:p>
      <w:pPr>
        <w:pStyle w:val="ListBullet"/>
      </w:pPr>
      <w:r>
        <w:t>Open-source and transparent modeling: The CGE-I5 model is developed with open documentation and aims for reproducibility, addressing calls for greater transparency in climate policy modeling (Pindyck, 2017).</w:t>
      </w:r>
    </w:p>
    <w:p>
      <w:r>
        <w:t>By building on established methodologies while addressing these gaps, the CGE-I5 model contributes to the literature on Italian climate policy analysis and provides a tool for evidence-based policymaking in the crucial decade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