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 Data Sources and Model Calibration</w:t>
      </w:r>
    </w:p>
    <w:p>
      <w:r>
        <w:t>This section describes the data sources used to construct the Social Accounting Matrix (SAM) and calibrate the CGE-I5 model to the Italian economy in 2021. Proper calibration is essential to ensure that the model accurately reproduces observed economic structure and provides a reliable basis for policy simulations.</w:t>
      </w:r>
    </w:p>
    <w:p>
      <w:pPr>
        <w:pStyle w:val="Heading1"/>
      </w:pPr>
      <w:r>
        <w:t>6.1. Primary Data Sources</w:t>
      </w:r>
    </w:p>
    <w:p>
      <w:pPr>
        <w:pStyle w:val="Heading2"/>
      </w:pPr>
      <w:r>
        <w:t>6.1.1. National Accounts</w:t>
      </w:r>
    </w:p>
    <w:p>
      <w:r>
        <w:t>The core macroeconomic data come from Italian National Institute of Statistics (ISTAT) national accounts:</w:t>
      </w:r>
    </w:p>
    <w:p>
      <w:pPr>
        <w:pStyle w:val="ListBullet"/>
      </w:pPr>
      <w:r>
        <w:t>GDP and its components: consumption, investment, government expenditure, exports, imports (2021)</w:t>
      </w:r>
    </w:p>
    <w:p>
      <w:pPr>
        <w:pStyle w:val="ListBullet"/>
      </w:pPr>
      <w:r>
        <w:t>Sectoral gross output and value-added by industry (NACE classification)</w:t>
      </w:r>
    </w:p>
    <w:p>
      <w:pPr>
        <w:pStyle w:val="ListBullet"/>
      </w:pPr>
      <w:r>
        <w:t>Household consumption expenditure by product category</w:t>
      </w:r>
    </w:p>
    <w:p>
      <w:pPr>
        <w:pStyle w:val="ListBullet"/>
      </w:pPr>
      <w:r>
        <w:t>Gross fixed capital formation by sector and asset type</w:t>
      </w:r>
    </w:p>
    <w:p>
      <w:pPr>
        <w:pStyle w:val="ListBullet"/>
      </w:pPr>
      <w:r>
        <w:t>Employment and compensation of employees by industry</w:t>
      </w:r>
    </w:p>
    <w:p>
      <w:r>
        <w:t>Base year 2021 was chosen as it represents the most recent year with complete and revised national accounts data, providing a post-pandemic starting point for projections.</w:t>
      </w:r>
    </w:p>
    <w:p>
      <w:pPr>
        <w:pStyle w:val="Heading2"/>
      </w:pPr>
      <w:r>
        <w:t>6.1.2. Input-Output Tables</w:t>
      </w:r>
    </w:p>
    <w:p>
      <w:r>
        <w:t>Input-output relationships are derived from ISTAT Supply and Use Tables (2021), which provide:</w:t>
      </w:r>
    </w:p>
    <w:p>
      <w:pPr>
        <w:pStyle w:val="ListBullet"/>
      </w:pPr>
      <w:r>
        <w:t>Intermediate consumption matrix (industry × product)</w:t>
      </w:r>
    </w:p>
    <w:p>
      <w:pPr>
        <w:pStyle w:val="ListBullet"/>
      </w:pPr>
      <w:r>
        <w:t>Domestic production and imports by product</w:t>
      </w:r>
    </w:p>
    <w:p>
      <w:pPr>
        <w:pStyle w:val="ListBullet"/>
      </w:pPr>
      <w:r>
        <w:t>Final demand categories by product</w:t>
      </w:r>
    </w:p>
    <w:p>
      <w:pPr>
        <w:pStyle w:val="ListBullet"/>
      </w:pPr>
      <w:r>
        <w:t>Tax and subsidy rates by product and industry</w:t>
      </w:r>
    </w:p>
    <w:p>
      <w:r>
        <w:t>The Supply-Use Tables are aggregated from detailed NACE 2-digit classification to the 11-sector classification used in CGE-I5, ensuring consistency with energy and transport disaggregation needs.</w:t>
      </w:r>
    </w:p>
    <w:p>
      <w:pPr>
        <w:pStyle w:val="Heading2"/>
      </w:pPr>
      <w:r>
        <w:t>6.1.3. Energy Data</w:t>
      </w:r>
    </w:p>
    <w:p>
      <w:r>
        <w:t>Energy statistics come from multiple specialized sources:</w:t>
      </w:r>
    </w:p>
    <w:p>
      <w:r>
        <w:rPr>
          <w:b/>
        </w:rPr>
        <w:t xml:space="preserve">Gestore dei Servizi Energetici (GSE): </w:t>
      </w:r>
      <w:r>
        <w:t>Renewable energy statistics, including capacity by technology (solar, wind, hydro, biomass), generation by source, and renewable electricity share (35% in 2021).</w:t>
      </w:r>
    </w:p>
    <w:p>
      <w:r>
        <w:rPr>
          <w:b/>
        </w:rPr>
        <w:t xml:space="preserve">Ministry of Ecological Transition (MITE): </w:t>
      </w:r>
      <w:r>
        <w:t>National Energy Balance 2021, providing energy consumption by sector and carrier (coal, oil products, natural gas, electricity, renewables), expressed in tonnes of oil equivalent (toe) and converted to MWh.</w:t>
      </w:r>
    </w:p>
    <w:p>
      <w:r>
        <w:rPr>
          <w:b/>
        </w:rPr>
        <w:t xml:space="preserve">International Energy Agency (IEA): </w:t>
      </w:r>
      <w:r>
        <w:t>Energy balances and prices for Italy, used for cross-validation and gap-filling where national data are incomplete.</w:t>
      </w:r>
    </w:p>
    <w:p>
      <w:r>
        <w:t>Energy data are carefully reconciled with monetary values in national accounts to ensure consistency between physical and economic representations.</w:t>
      </w:r>
    </w:p>
    <w:p>
      <w:pPr>
        <w:pStyle w:val="Heading2"/>
      </w:pPr>
      <w:r>
        <w:t>6.1.4. Emissions Data</w:t>
      </w:r>
    </w:p>
    <w:p>
      <w:r>
        <w:t>CO₂ emission data and emission factors come from:</w:t>
      </w:r>
    </w:p>
    <w:p>
      <w:r>
        <w:rPr>
          <w:b/>
        </w:rPr>
        <w:t xml:space="preserve">ISPRA (Istituto Superiore per la Protezione e la Ricerca Ambientale): </w:t>
      </w:r>
      <w:r>
        <w:t>Italian Greenhouse Gas Inventory (2022), providing comprehensive emissions data by sector and fuel type. Total CO₂ from fuel combustion in 2021: 466.1 MtCO₂.</w:t>
      </w:r>
    </w:p>
    <w:p>
      <w:r>
        <w:rPr>
          <w:b/>
        </w:rPr>
        <w:t xml:space="preserve">IPCC Guidelines: </w:t>
      </w:r>
      <w:r>
        <w:t>Default emission factors for different fuels, used where Italy-specific factors are not available. Calibrated factors: Gas 202 kg/MWh, Other Energy 350 kg/MWh (weighted average of oil and coal).</w:t>
      </w:r>
    </w:p>
    <w:p>
      <w:pPr>
        <w:pStyle w:val="Heading2"/>
      </w:pPr>
      <w:r>
        <w:t>6.1.5. Regional Data</w:t>
      </w:r>
    </w:p>
    <w:p>
      <w:r>
        <w:t>Regional disaggregation uses ISTAT regional accounts and surveys:</w:t>
      </w:r>
    </w:p>
    <w:p>
      <w:pPr>
        <w:pStyle w:val="ListBullet"/>
      </w:pPr>
      <w:r>
        <w:t>Regional GDP and value-added by broad sector (20 regions aggregated to 5 macro-regions)</w:t>
      </w:r>
    </w:p>
    <w:p>
      <w:pPr>
        <w:pStyle w:val="ListBullet"/>
      </w:pPr>
      <w:r>
        <w:t>Household income and consumption by region</w:t>
      </w:r>
    </w:p>
    <w:p>
      <w:pPr>
        <w:pStyle w:val="ListBullet"/>
      </w:pPr>
      <w:r>
        <w:t>Regional labor force statistics: employment, unemployment, participation rates</w:t>
      </w:r>
    </w:p>
    <w:p>
      <w:pPr>
        <w:pStyle w:val="ListBullet"/>
      </w:pPr>
      <w:r>
        <w:t>Regional population and demographic projections (2021-2040)</w:t>
      </w:r>
    </w:p>
    <w:p>
      <w:pPr>
        <w:pStyle w:val="ListBullet"/>
      </w:pPr>
      <w:r>
        <w:t>Regional renewable energy potential and installed capacity by technology</w:t>
      </w:r>
    </w:p>
    <w:p>
      <w:pPr>
        <w:pStyle w:val="Heading1"/>
      </w:pPr>
      <w:r>
        <w:t>6.2. Social Accounting Matrix Construction</w:t>
      </w:r>
    </w:p>
    <w:p>
      <w:pPr>
        <w:pStyle w:val="Heading2"/>
      </w:pPr>
      <w:r>
        <w:t>6.2.1. SAM Structure</w:t>
      </w:r>
    </w:p>
    <w:p>
      <w:r>
        <w:t>The SAM is a comprehensive accounting framework that captures all economic transactions in the base year. The CGE-I5 SAM has the following accounts: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Accounts</w:t>
            </w:r>
          </w:p>
        </w:tc>
      </w:tr>
      <w:tr>
        <w:tc>
          <w:tcPr>
            <w:tcW w:type="dxa" w:w="4320"/>
          </w:tcPr>
          <w:p>
            <w:r>
              <w:t>Production sectors (activities)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Commodities (products)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Factors (labor, capital)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Households (by region)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Government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Firms (corporate sector)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Rest of World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t>Total SAM dimension: 32 × 32 accounts. The SAM is balanced by construction (row sums equal column sums for each account), ensuring accounting consistency.</w:t>
      </w:r>
    </w:p>
    <w:p>
      <w:pPr>
        <w:pStyle w:val="Heading2"/>
      </w:pPr>
      <w:r>
        <w:t>6.2.2. SAM Balancing Procedure</w:t>
      </w:r>
    </w:p>
    <w:p>
      <w:r>
        <w:t>Constructing a balanced SAM from multiple data sources requires reconciling inconsistencies. The balancing procedure follows these steps:</w:t>
      </w:r>
    </w:p>
    <w:p>
      <w:pPr>
        <w:pStyle w:val="ListNumber"/>
      </w:pPr>
      <w:r>
        <w:t>1. Assemble initial SAM from national accounts, input-output tables, and supplementary data</w:t>
      </w:r>
    </w:p>
    <w:p>
      <w:pPr>
        <w:pStyle w:val="ListNumber"/>
      </w:pPr>
      <w:r>
        <w:t>2. Identify and quantify imbalances (differences between row and column sums)</w:t>
      </w:r>
    </w:p>
    <w:p>
      <w:pPr>
        <w:pStyle w:val="ListNumber"/>
      </w:pPr>
      <w:r>
        <w:t>3. Apply cross-entropy minimization to adjust cell values while preserving information content (Robinson, Cattaneo &amp; El-Said, 2001)</w:t>
      </w:r>
    </w:p>
    <w:p>
      <w:pPr>
        <w:pStyle w:val="ListNumber"/>
      </w:pPr>
      <w:r>
        <w:t>4. Impose hard constraints on key aggregates (GDP, total consumption, total investment) to match official statistics</w:t>
      </w:r>
    </w:p>
    <w:p>
      <w:pPr>
        <w:pStyle w:val="ListNumber"/>
      </w:pPr>
      <w:r>
        <w:t>5. Verify economic plausibility: positive factor payments, reasonable import shares, consistent trade flows</w:t>
      </w:r>
    </w:p>
    <w:p>
      <w:pPr>
        <w:pStyle w:val="ListNumber"/>
      </w:pPr>
      <w:r>
        <w:t>6. Iterate until convergence criterion met (maximum imbalance &lt; 0.1% of account total)</w:t>
      </w:r>
    </w:p>
    <w:p>
      <w:pPr>
        <w:pStyle w:val="ListNumber"/>
      </w:pPr>
      <w:r>
        <w:t>7. Conduct sensitivity analysis to assess impact of balancing adjustments on model results</w:t>
      </w:r>
    </w:p>
    <w:p>
      <w:pPr>
        <w:pStyle w:val="Heading2"/>
      </w:pPr>
      <w:r>
        <w:t>6.2.3. Key SAM Aggregates</w:t>
      </w:r>
    </w:p>
    <w:p>
      <w:r>
        <w:t>The balanced 2021 SAM reproduces the following key macroeconomic aggregates (in € billions, current prices):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Aggregate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 (€ billions)</w:t>
            </w:r>
          </w:p>
        </w:tc>
      </w:tr>
      <w:tr>
        <w:tc>
          <w:tcPr>
            <w:tcW w:type="dxa" w:w="4320"/>
          </w:tcPr>
          <w:p>
            <w:r>
              <w:t>GDP (current prices)</w:t>
            </w:r>
          </w:p>
        </w:tc>
        <w:tc>
          <w:tcPr>
            <w:tcW w:type="dxa" w:w="4320"/>
          </w:tcPr>
          <w:p>
            <w:r>
              <w:t>1,782.0</w:t>
            </w:r>
          </w:p>
        </w:tc>
      </w:tr>
      <w:tr>
        <w:tc>
          <w:tcPr>
            <w:tcW w:type="dxa" w:w="4320"/>
          </w:tcPr>
          <w:p>
            <w:r>
              <w:t>Private consumption</w:t>
            </w:r>
          </w:p>
        </w:tc>
        <w:tc>
          <w:tcPr>
            <w:tcW w:type="dxa" w:w="4320"/>
          </w:tcPr>
          <w:p>
            <w:r>
              <w:t>1,054.8</w:t>
            </w:r>
          </w:p>
        </w:tc>
      </w:tr>
      <w:tr>
        <w:tc>
          <w:tcPr>
            <w:tcW w:type="dxa" w:w="4320"/>
          </w:tcPr>
          <w:p>
            <w:r>
              <w:t>Government consumption</w:t>
            </w:r>
          </w:p>
        </w:tc>
        <w:tc>
          <w:tcPr>
            <w:tcW w:type="dxa" w:w="4320"/>
          </w:tcPr>
          <w:p>
            <w:r>
              <w:t>331.4</w:t>
            </w:r>
          </w:p>
        </w:tc>
      </w:tr>
      <w:tr>
        <w:tc>
          <w:tcPr>
            <w:tcW w:type="dxa" w:w="4320"/>
          </w:tcPr>
          <w:p>
            <w:r>
              <w:t>Gross fixed capital formation</w:t>
            </w:r>
          </w:p>
        </w:tc>
        <w:tc>
          <w:tcPr>
            <w:tcW w:type="dxa" w:w="4320"/>
          </w:tcPr>
          <w:p>
            <w:r>
              <w:t>312.2</w:t>
            </w:r>
          </w:p>
        </w:tc>
      </w:tr>
      <w:tr>
        <w:tc>
          <w:tcPr>
            <w:tcW w:type="dxa" w:w="4320"/>
          </w:tcPr>
          <w:p>
            <w:r>
              <w:t>Exports of goods and services</w:t>
            </w:r>
          </w:p>
        </w:tc>
        <w:tc>
          <w:tcPr>
            <w:tcW w:type="dxa" w:w="4320"/>
          </w:tcPr>
          <w:p>
            <w:r>
              <w:t>593.3</w:t>
            </w:r>
          </w:p>
        </w:tc>
      </w:tr>
      <w:tr>
        <w:tc>
          <w:tcPr>
            <w:tcW w:type="dxa" w:w="4320"/>
          </w:tcPr>
          <w:p>
            <w:r>
              <w:t>Imports of goods and services</w:t>
            </w:r>
          </w:p>
        </w:tc>
        <w:tc>
          <w:tcPr>
            <w:tcW w:type="dxa" w:w="4320"/>
          </w:tcPr>
          <w:p>
            <w:r>
              <w:t>509.7</w:t>
            </w:r>
          </w:p>
        </w:tc>
      </w:tr>
      <w:tr>
        <w:tc>
          <w:tcPr>
            <w:tcW w:type="dxa" w:w="4320"/>
          </w:tcPr>
          <w:p>
            <w:r>
              <w:t>Total labor compensation</w:t>
            </w:r>
          </w:p>
        </w:tc>
        <w:tc>
          <w:tcPr>
            <w:tcW w:type="dxa" w:w="4320"/>
          </w:tcPr>
          <w:p>
            <w:r>
              <w:t>810.5</w:t>
            </w:r>
          </w:p>
        </w:tc>
      </w:tr>
      <w:tr>
        <w:tc>
          <w:tcPr>
            <w:tcW w:type="dxa" w:w="4320"/>
          </w:tcPr>
          <w:p>
            <w:r>
              <w:t>Total capital income</w:t>
            </w:r>
          </w:p>
        </w:tc>
        <w:tc>
          <w:tcPr>
            <w:tcW w:type="dxa" w:w="4320"/>
          </w:tcPr>
          <w:p>
            <w:r>
              <w:t>712.3</w:t>
            </w:r>
          </w:p>
        </w:tc>
      </w:tr>
      <w:tr>
        <w:tc>
          <w:tcPr>
            <w:tcW w:type="dxa" w:w="4320"/>
          </w:tcPr>
          <w:p>
            <w:r>
              <w:t>Indirect taxes (net)</w:t>
            </w:r>
          </w:p>
        </w:tc>
        <w:tc>
          <w:tcPr>
            <w:tcW w:type="dxa" w:w="4320"/>
          </w:tcPr>
          <w:p>
            <w:r>
              <w:t>259.2</w:t>
            </w:r>
          </w:p>
        </w:tc>
      </w:tr>
      <w:tr>
        <w:tc>
          <w:tcPr>
            <w:tcW w:type="dxa" w:w="4320"/>
          </w:tcPr>
          <w:p>
            <w:r>
              <w:t>Total CO₂ emissions (MtCO₂)</w:t>
            </w:r>
          </w:p>
        </w:tc>
        <w:tc>
          <w:tcPr>
            <w:tcW w:type="dxa" w:w="4320"/>
          </w:tcPr>
          <w:p>
            <w:r>
              <w:t>466.1</w:t>
            </w:r>
          </w:p>
        </w:tc>
      </w:tr>
    </w:tbl>
    <w:p/>
    <w:p>
      <w:pPr>
        <w:pStyle w:val="Heading1"/>
      </w:pPr>
      <w:r>
        <w:t>6.3. Parameter Calibration</w:t>
      </w:r>
    </w:p>
    <w:p>
      <w:pPr>
        <w:pStyle w:val="Heading2"/>
      </w:pPr>
      <w:r>
        <w:t>6.3.1. Production Parameters</w:t>
      </w:r>
    </w:p>
    <w:p>
      <w:r>
        <w:t>Production function parameters are calibrated using the calibrated share form of CES functions:</w:t>
      </w:r>
    </w:p>
    <w:p>
      <w:r>
        <w:rPr>
          <w:b/>
        </w:rPr>
        <w:t xml:space="preserve">Share parameters (α, δ, θ): </w:t>
      </w:r>
      <w:r>
        <w:t>Derived from base year value shares. For example, capital share α_K = (r·K) / (r·K + w·L) where r is the rental rate and w is the wage rate, observed in the SAM.</w:t>
      </w:r>
    </w:p>
    <w:p>
      <w:r>
        <w:rPr>
          <w:b/>
        </w:rPr>
        <w:t xml:space="preserve">Efficiency parameters (A): </w:t>
      </w:r>
      <w:r>
        <w:t>Scale factors ensuring that the production function exactly reproduces base year output given base year inputs. Calculated algebraically from the CES function and observed quantities.</w:t>
      </w:r>
    </w:p>
    <w:p>
      <w:r>
        <w:rPr>
          <w:b/>
        </w:rPr>
        <w:t xml:space="preserve">Substitution elasticities (σ): </w:t>
      </w:r>
      <w:r>
        <w:t>Elasticities cannot be calibrated from a single year of data. Values are taken from econometric literature and meta-analyses:</w:t>
      </w:r>
    </w:p>
    <w:p>
      <w:pPr>
        <w:pStyle w:val="ListBullet"/>
      </w:pPr>
      <w:r>
        <w:t>Capital-labor substitution (σ_KL = 0.4): Chirinko (2008), Antràs (2004)</w:t>
      </w:r>
    </w:p>
    <w:p>
      <w:pPr>
        <w:pStyle w:val="ListBullet"/>
      </w:pPr>
      <w:r>
        <w:t>Energy-materials substitution (σ_EN = 1.2): Koetse, de Groot &amp; Florax (2008)</w:t>
      </w:r>
    </w:p>
    <w:p>
      <w:pPr>
        <w:pStyle w:val="ListBullet"/>
      </w:pPr>
      <w:r>
        <w:t>Value-added nest (σ_VA = 0.7): Okagawa &amp; Ban (2008) for GTAP-E</w:t>
      </w:r>
    </w:p>
    <w:p>
      <w:pPr>
        <w:pStyle w:val="ListBullet"/>
      </w:pPr>
      <w:r>
        <w:t>Armington elasticity (σ_M = 2.0): Hertel et al. (2007), varies by sector</w:t>
      </w:r>
    </w:p>
    <w:p>
      <w:pPr>
        <w:pStyle w:val="Heading2"/>
      </w:pPr>
      <w:r>
        <w:t>6.3.2. Household Parameters</w:t>
      </w:r>
    </w:p>
    <w:p>
      <w:r>
        <w:t>Linear Expenditure System (LES) parameters are calibrated using household budget survey data:</w:t>
      </w:r>
    </w:p>
    <w:p>
      <w:r>
        <w:rPr>
          <w:b/>
        </w:rPr>
        <w:t xml:space="preserve">Subsistence consumption (C_min): </w:t>
      </w:r>
      <w:r>
        <w:t>Estimated from ISTAT Household Budget Survey 2021, identifying minimum expenditure on necessities (food, housing, basic energy) across income deciles. Regional variation reflects cost of living differences.</w:t>
      </w:r>
    </w:p>
    <w:p>
      <w:r>
        <w:rPr>
          <w:b/>
        </w:rPr>
        <w:t xml:space="preserve">Marginal budget shares (β): </w:t>
      </w:r>
      <w:r>
        <w:t>Calibrated to match observed expenditure shares in 2021, subject to adding-up constraint (Σ_j β_j = 1). Frisch parameters (income flexibility) set to -2.5 for Italy based on empirical estimates (Lluch, Powell &amp; Williams, 1977).</w:t>
      </w:r>
    </w:p>
    <w:p>
      <w:pPr>
        <w:pStyle w:val="Heading2"/>
      </w:pPr>
      <w:r>
        <w:t>6.3.3. Trade Parameters</w:t>
      </w:r>
    </w:p>
    <w:p>
      <w:r>
        <w:t>Armington and CET parameters follow the same calibration approach as production functions:</w:t>
      </w:r>
    </w:p>
    <w:p>
      <w:r>
        <w:rPr>
          <w:b/>
        </w:rPr>
        <w:t xml:space="preserve">Import share parameters (δ_M): </w:t>
      </w:r>
      <w:r>
        <w:t>Import share δ_M = (p_M × M) / [(p_D × D) + (p_M × M)] calculated from base year data.</w:t>
      </w:r>
    </w:p>
    <w:p>
      <w:r>
        <w:rPr>
          <w:b/>
        </w:rPr>
        <w:t xml:space="preserve">Export share parameters (θ_E): </w:t>
      </w:r>
      <w:r>
        <w:t>Export share θ_E = (p_E × E) / [(p_D × D) + (p_E × E)] from observed trade flows.</w:t>
      </w:r>
    </w:p>
    <w:p>
      <w:r>
        <w:rPr>
          <w:b/>
        </w:rPr>
        <w:t xml:space="preserve">Trade elasticities: </w:t>
      </w:r>
      <w:r>
        <w:t>Armington elasticities range from 1.5 (differentiated products like services) to 3.0 (homogeneous goods like energy). CET elasticities similarly differentiated by sector.</w:t>
      </w:r>
    </w:p>
    <w:p>
      <w:pPr>
        <w:pStyle w:val="Heading2"/>
      </w:pPr>
      <w:r>
        <w:t>6.3.4. Energy and Emission Parameters</w:t>
      </w:r>
    </w:p>
    <w:p>
      <w:r>
        <w:t>Energy parameters are calibrated to physical and economic energy data:</w:t>
      </w:r>
    </w:p>
    <w:p>
      <w:r>
        <w:rPr>
          <w:b/>
        </w:rPr>
        <w:t xml:space="preserve">Energy intensity (EI_j): </w:t>
      </w:r>
      <w:r>
        <w:t>Ratio of energy consumption (MWh) to gross output (€) by sector, calculated from MITE energy balance and ISTAT output data. Ranges from 0.05 (services) to 0.35 (energy-intensive industry).</w:t>
      </w:r>
    </w:p>
    <w:p>
      <w:r>
        <w:rPr>
          <w:b/>
        </w:rPr>
        <w:t xml:space="preserve">Emission factors (EF_e): </w:t>
      </w:r>
      <w:r>
        <w:t>Calibrated to match ISPRA emissions inventory:</w:t>
      </w:r>
    </w:p>
    <w:p>
      <w:pPr>
        <w:pStyle w:val="ListBullet"/>
      </w:pPr>
      <w:r>
        <w:t>Renewables: 0 kg CO₂/MWh (zero emissions by definition)</w:t>
      </w:r>
    </w:p>
    <w:p>
      <w:pPr>
        <w:pStyle w:val="ListBullet"/>
      </w:pPr>
      <w:r>
        <w:t>Gas: 202 kg CO₂/MWh (natural gas combustion, IPCC Tier 1 factor)</w:t>
      </w:r>
    </w:p>
    <w:p>
      <w:pPr>
        <w:pStyle w:val="ListBullet"/>
      </w:pPr>
      <w:r>
        <w:t>Other Energy: 350 kg CO₂/MWh (weighted average: oil 350, coal 400, based on 2021 fuel mix)</w:t>
      </w:r>
    </w:p>
    <w:p>
      <w:r>
        <w:rPr>
          <w:b/>
        </w:rPr>
        <w:t xml:space="preserve">AEEI (Autonomous Energy Efficiency Improvement): </w:t>
      </w:r>
      <w:r>
        <w:t>1.8% annually, calibrated to historical trends (2010-2020) and consistent with IEA projections for Italy.</w:t>
      </w:r>
    </w:p>
    <w:p>
      <w:pPr>
        <w:pStyle w:val="Heading1"/>
      </w:pPr>
      <w:r>
        <w:t>6.4. Dynamic Parameters for Projections</w:t>
      </w:r>
    </w:p>
    <w:p>
      <w:pPr>
        <w:pStyle w:val="Heading2"/>
      </w:pPr>
      <w:r>
        <w:t>6.4.1. Demographic Projections</w:t>
      </w:r>
    </w:p>
    <w:p>
      <w:r>
        <w:t>Population and labor force projections by region come from ISTAT demographic scenarios (2021-2040):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2021 Population (millions)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 Growth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2040 Population (millions)</w:t>
            </w:r>
          </w:p>
        </w:tc>
      </w:tr>
      <w:tr>
        <w:tc>
          <w:tcPr>
            <w:tcW w:type="dxa" w:w="2160"/>
          </w:tcPr>
          <w:p>
            <w:r>
              <w:t>Northwest</w:t>
            </w:r>
          </w:p>
        </w:tc>
        <w:tc>
          <w:tcPr>
            <w:tcW w:type="dxa" w:w="2160"/>
          </w:tcPr>
          <w:p>
            <w:r>
              <w:t>15.9</w:t>
            </w:r>
          </w:p>
        </w:tc>
        <w:tc>
          <w:tcPr>
            <w:tcW w:type="dxa" w:w="2160"/>
          </w:tcPr>
          <w:p>
            <w:r>
              <w:t>-0.1%</w:t>
            </w:r>
          </w:p>
        </w:tc>
        <w:tc>
          <w:tcPr>
            <w:tcW w:type="dxa" w:w="2160"/>
          </w:tcPr>
          <w:p>
            <w:r>
              <w:t>15.6</w:t>
            </w:r>
          </w:p>
        </w:tc>
      </w:tr>
      <w:tr>
        <w:tc>
          <w:tcPr>
            <w:tcW w:type="dxa" w:w="2160"/>
          </w:tcPr>
          <w:p>
            <w:r>
              <w:t>Northeast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  <w:tc>
          <w:tcPr>
            <w:tcW w:type="dxa" w:w="2160"/>
          </w:tcPr>
          <w:p>
            <w:r>
              <w:t>-0.2%</w:t>
            </w:r>
          </w:p>
        </w:tc>
        <w:tc>
          <w:tcPr>
            <w:tcW w:type="dxa" w:w="2160"/>
          </w:tcPr>
          <w:p>
            <w:r>
              <w:t>10.9</w:t>
            </w:r>
          </w:p>
        </w:tc>
      </w:tr>
      <w:tr>
        <w:tc>
          <w:tcPr>
            <w:tcW w:type="dxa" w:w="2160"/>
          </w:tcPr>
          <w:p>
            <w:r>
              <w:t>Centre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11.8</w:t>
            </w:r>
          </w:p>
        </w:tc>
      </w:tr>
      <w:tr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  <w:tc>
          <w:tcPr>
            <w:tcW w:type="dxa" w:w="2160"/>
          </w:tcPr>
          <w:p>
            <w:r>
              <w:t>-0.3%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</w:tr>
      <w:tr>
        <w:tc>
          <w:tcPr>
            <w:tcW w:type="dxa" w:w="2160"/>
          </w:tcPr>
          <w:p>
            <w:r>
              <w:t>Islands</w:t>
            </w:r>
          </w:p>
        </w:tc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-0.2%</w:t>
            </w:r>
          </w:p>
        </w:tc>
        <w:tc>
          <w:tcPr>
            <w:tcW w:type="dxa" w:w="2160"/>
          </w:tcPr>
          <w:p>
            <w:r>
              <w:t>6.2</w:t>
            </w:r>
          </w:p>
        </w:tc>
      </w:tr>
    </w:tbl>
    <w:p/>
    <w:p>
      <w:r>
        <w:t>Italy faces population decline in most regions, reflecting low fertility rates and aging. Labor force declines faster due to aging (increasing dependency ratios).</w:t>
      </w:r>
    </w:p>
    <w:p>
      <w:pPr>
        <w:pStyle w:val="Heading2"/>
      </w:pPr>
      <w:r>
        <w:t>6.4.2. Productivity Growth</w:t>
      </w:r>
    </w:p>
    <w:p>
      <w:r>
        <w:t>Total Factor Productivity (TFP) growth rates by sector are based on historical trends (2010-2020) and OECD projections:</w:t>
      </w:r>
    </w:p>
    <w:p>
      <w:pPr>
        <w:pStyle w:val="ListBullet"/>
      </w:pPr>
      <w:r>
        <w:t>Agriculture: 0.5% annually (slow productivity growth, limited technological progress)</w:t>
      </w:r>
    </w:p>
    <w:p>
      <w:pPr>
        <w:pStyle w:val="ListBullet"/>
      </w:pPr>
      <w:r>
        <w:t>Industry: 0.8% annually (moderate productivity gains, automation)</w:t>
      </w:r>
    </w:p>
    <w:p>
      <w:pPr>
        <w:pStyle w:val="ListBullet"/>
      </w:pPr>
      <w:r>
        <w:t>Energy sectors: 1.0% annually (technological improvements, efficiency gains)</w:t>
      </w:r>
    </w:p>
    <w:p>
      <w:pPr>
        <w:pStyle w:val="ListBullet"/>
      </w:pPr>
      <w:r>
        <w:t>Transport: 0.6% annually (limited productivity growth in mature sector)</w:t>
      </w:r>
    </w:p>
    <w:p>
      <w:pPr>
        <w:pStyle w:val="ListBullet"/>
      </w:pPr>
      <w:r>
        <w:t>Services: 0.7% annually (digital transformation offsetting low-productivity subsectors)</w:t>
      </w:r>
    </w:p>
    <w:p>
      <w:pPr>
        <w:pStyle w:val="Heading2"/>
      </w:pPr>
      <w:r>
        <w:t>6.4.3. World Price Projections</w:t>
      </w:r>
    </w:p>
    <w:p>
      <w:r>
        <w:t>World prices for imports and exports follow projections from international sources:</w:t>
      </w:r>
    </w:p>
    <w:p>
      <w:r>
        <w:rPr>
          <w:b/>
        </w:rPr>
        <w:t xml:space="preserve">Energy prices: </w:t>
      </w:r>
      <w:r>
        <w:t>IEA World Energy Outlook 2022 Stated Policies Scenario (STEPS). Oil prices rise modestly from $70/barrel (2021) to $90/barrel (2040). Gas prices volatile but trending upward due to supply constraints.</w:t>
      </w:r>
    </w:p>
    <w:p>
      <w:r>
        <w:rPr>
          <w:b/>
        </w:rPr>
        <w:t xml:space="preserve">Non-energy commodities: </w:t>
      </w:r>
      <w:r>
        <w:t>World Bank Commodity Price Forecasts. Agricultural prices rise 1.5% annually in real terms. Industrial materials flat to slightly declining in real terms.</w:t>
      </w:r>
    </w:p>
    <w:p>
      <w:r>
        <w:rPr>
          <w:b/>
        </w:rPr>
        <w:t xml:space="preserve">Manufactured goods: </w:t>
      </w:r>
      <w:r>
        <w:t>Assume constant real prices (technological progress offsets demand growth), consistent with historical trends.</w:t>
      </w:r>
    </w:p>
    <w:p>
      <w:pPr>
        <w:pStyle w:val="Heading1"/>
      </w:pPr>
      <w:r>
        <w:t>6.5. Calibration Validation</w:t>
      </w:r>
    </w:p>
    <w:p>
      <w:pPr>
        <w:pStyle w:val="Heading2"/>
      </w:pPr>
      <w:r>
        <w:t>6.5.1. Base Year Replication</w:t>
      </w:r>
    </w:p>
    <w:p>
      <w:r>
        <w:t>The calibrated model is tested by solving for 2021 equilibrium and comparing results to observed data. Key validation checks:</w:t>
      </w:r>
    </w:p>
    <w:p>
      <w:pPr>
        <w:pStyle w:val="ListBullet"/>
      </w:pPr>
      <w:r>
        <w:t>GDP: Model GDP = €1,782.0 billion vs. observed €1,782.0 billion (exact match by construction)</w:t>
      </w:r>
    </w:p>
    <w:p>
      <w:pPr>
        <w:pStyle w:val="ListBullet"/>
      </w:pPr>
      <w:r>
        <w:t>Sectoral outputs: Model sectoral value-added within 1% of observed values for all 11 sectors</w:t>
      </w:r>
    </w:p>
    <w:p>
      <w:pPr>
        <w:pStyle w:val="ListBullet"/>
      </w:pPr>
      <w:r>
        <w:t>Trade flows: Model exports and imports match observed values within 2% (allowing for data source differences)</w:t>
      </w:r>
    </w:p>
    <w:p>
      <w:pPr>
        <w:pStyle w:val="ListBullet"/>
      </w:pPr>
      <w:r>
        <w:t>Energy consumption: Model energy demand by carrier within 3% of MITE energy balance</w:t>
      </w:r>
    </w:p>
    <w:p>
      <w:pPr>
        <w:pStyle w:val="ListBullet"/>
      </w:pPr>
      <w:r>
        <w:t>CO₂ emissions: Model total emissions 466.3 MtCO₂ vs. observed 466.1 MtCO₂ (0.04% difference)</w:t>
      </w:r>
    </w:p>
    <w:p>
      <w:pPr>
        <w:pStyle w:val="ListBullet"/>
      </w:pPr>
      <w:r>
        <w:t>Factor payments: Model labor compensation within 1% of national accounts</w:t>
      </w:r>
    </w:p>
    <w:p>
      <w:pPr>
        <w:pStyle w:val="ListBullet"/>
      </w:pPr>
      <w:r>
        <w:t>Household consumption: Model household spending by region matches ISTAT data within 2%</w:t>
      </w:r>
    </w:p>
    <w:p>
      <w:r>
        <w:t>All validation checks confirm that the model accurately reproduces the 2021 Italian economy, providing confidence in the calibration and establishing a sound basis for policy simulations.</w:t>
      </w:r>
    </w:p>
    <w:p>
      <w:pPr>
        <w:pStyle w:val="Heading2"/>
      </w:pPr>
      <w:r>
        <w:t>6.5.2. Sensitivity Analysis</w:t>
      </w:r>
    </w:p>
    <w:p>
      <w:r>
        <w:t>Parameter sensitivity is tested by perturbing key elasticities and examining model responses:</w:t>
      </w:r>
    </w:p>
    <w:p>
      <w:pPr>
        <w:pStyle w:val="ListBullet"/>
      </w:pPr>
      <w:r>
        <w:t>Armington elasticity ±25%: Trade flows vary proportionally; GDP impact &lt; 0.5%</w:t>
      </w:r>
    </w:p>
    <w:p>
      <w:pPr>
        <w:pStyle w:val="ListBullet"/>
      </w:pPr>
      <w:r>
        <w:t>Capital-labor substitution elasticity ±25%: Factor demands adjust; sectoral output changes &lt; 1%</w:t>
      </w:r>
    </w:p>
    <w:p>
      <w:pPr>
        <w:pStyle w:val="ListBullet"/>
      </w:pPr>
      <w:r>
        <w:t>Energy substitution elasticity ±25%: Significant impact on fuel switching under carbon pricing; emissions reductions vary ±15%</w:t>
      </w:r>
    </w:p>
    <w:p>
      <w:pPr>
        <w:pStyle w:val="ListBullet"/>
      </w:pPr>
      <w:r>
        <w:t>AEEI ±0.5 percentage points: Large impact on long-run energy demand and emissions (±20% by 2040)</w:t>
      </w:r>
    </w:p>
    <w:p>
      <w:r>
        <w:t>Sensitivity analysis identifies key parameters driving results, informing uncertainty assessment and highlighting areas for further empirical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