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Policy Scenarios and Simulation Design</w:t>
      </w:r>
    </w:p>
    <w:p>
      <w:r>
        <w:t>The CGE-I5 model evaluates the economic and environmental impacts of Italy's climate policies through three carefully designed scenarios spanning 2021 to 2040. These scenarios reflect different levels of ambition in carbon pricing and renewable energy support, aligned with European Union climate targets and Italy's National Energy and Climate Plan (NECP).</w:t>
      </w:r>
    </w:p>
    <w:p>
      <w:pPr>
        <w:pStyle w:val="Heading1"/>
      </w:pPr>
      <w:r>
        <w:t>7.1. Scenario Design Framework</w:t>
      </w:r>
    </w:p>
    <w:p>
      <w:r>
        <w:t>The three scenarios are designed to capture a range of policy outcomes, from a baseline business-as-usual trajectory to ambitious decarbonization pathways: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BAU (Baseline)</w:t>
            </w:r>
          </w:p>
        </w:tc>
        <w:tc>
          <w:tcPr>
            <w:tcW w:type="dxa" w:w="2160"/>
          </w:tcPr>
          <w:p>
            <w:r>
              <w:rPr>
                <w:b/>
              </w:rPr>
              <w:t>ETS1 (Moderate)</w:t>
            </w:r>
          </w:p>
        </w:tc>
        <w:tc>
          <w:tcPr>
            <w:tcW w:type="dxa" w:w="2160"/>
          </w:tcPr>
          <w:p>
            <w:r>
              <w:rPr>
                <w:b/>
              </w:rPr>
              <w:t>ETS2 (Ambitious)</w:t>
            </w:r>
          </w:p>
        </w:tc>
      </w:tr>
      <w:tr>
        <w:tc>
          <w:tcPr>
            <w:tcW w:type="dxa" w:w="2160"/>
          </w:tcPr>
          <w:p>
            <w:r>
              <w:t>Carbon Price (2025)</w:t>
            </w:r>
          </w:p>
        </w:tc>
        <w:tc>
          <w:tcPr>
            <w:tcW w:type="dxa" w:w="2160"/>
          </w:tcPr>
          <w:p>
            <w:r>
              <w:t>No explicit price</w:t>
            </w:r>
          </w:p>
        </w:tc>
        <w:tc>
          <w:tcPr>
            <w:tcW w:type="dxa" w:w="2160"/>
          </w:tcPr>
          <w:p>
            <w:r>
              <w:t>€53.90/tCO₂</w:t>
            </w:r>
          </w:p>
        </w:tc>
        <w:tc>
          <w:tcPr>
            <w:tcW w:type="dxa" w:w="2160"/>
          </w:tcPr>
          <w:p>
            <w:r>
              <w:t>€45.00/tCO₂</w:t>
            </w:r>
          </w:p>
        </w:tc>
      </w:tr>
      <w:tr>
        <w:tc>
          <w:tcPr>
            <w:tcW w:type="dxa" w:w="2160"/>
          </w:tcPr>
          <w:p>
            <w:r>
              <w:t>Price Growth Rate</w:t>
            </w:r>
          </w:p>
        </w:tc>
        <w:tc>
          <w:tcPr>
            <w:tcW w:type="dxa" w:w="2160"/>
          </w:tcPr>
          <w:p>
            <w:r>
              <w:t>—</w:t>
            </w:r>
          </w:p>
        </w:tc>
        <w:tc>
          <w:tcPr>
            <w:tcW w:type="dxa" w:w="2160"/>
          </w:tcPr>
          <w:p>
            <w:r>
              <w:t>4% annually</w:t>
            </w:r>
          </w:p>
        </w:tc>
        <w:tc>
          <w:tcPr>
            <w:tcW w:type="dxa" w:w="2160"/>
          </w:tcPr>
          <w:p>
            <w:r>
              <w:t>5% annually</w:t>
            </w:r>
          </w:p>
        </w:tc>
      </w:tr>
      <w:tr>
        <w:tc>
          <w:tcPr>
            <w:tcW w:type="dxa" w:w="2160"/>
          </w:tcPr>
          <w:p>
            <w:r>
              <w:t>Price Stabilization</w:t>
            </w:r>
          </w:p>
        </w:tc>
        <w:tc>
          <w:tcPr>
            <w:tcW w:type="dxa" w:w="2160"/>
          </w:tcPr>
          <w:p>
            <w:r>
              <w:t>—</w:t>
            </w:r>
          </w:p>
        </w:tc>
        <w:tc>
          <w:tcPr>
            <w:tcW w:type="dxa" w:w="2160"/>
          </w:tcPr>
          <w:p>
            <w:r>
              <w:t>MSR mechanism</w:t>
            </w:r>
          </w:p>
        </w:tc>
        <w:tc>
          <w:tcPr>
            <w:tcW w:type="dxa" w:w="2160"/>
          </w:tcPr>
          <w:p>
            <w:r>
              <w:t>PSM ceiling (€120)</w:t>
            </w:r>
          </w:p>
        </w:tc>
      </w:tr>
      <w:tr>
        <w:tc>
          <w:tcPr>
            <w:tcW w:type="dxa" w:w="2160"/>
          </w:tcPr>
          <w:p>
            <w:r>
              <w:t>Regional Support</w:t>
            </w:r>
          </w:p>
        </w:tc>
        <w:tc>
          <w:tcPr>
            <w:tcW w:type="dxa" w:w="2160"/>
          </w:tcPr>
          <w:p>
            <w:r>
              <w:t>None</w:t>
            </w:r>
          </w:p>
        </w:tc>
        <w:tc>
          <w:tcPr>
            <w:tcW w:type="dxa" w:w="2160"/>
          </w:tcPr>
          <w:p>
            <w:r>
              <w:t>South/Islands: 80% subsidy</w:t>
            </w:r>
          </w:p>
        </w:tc>
        <w:tc>
          <w:tcPr>
            <w:tcW w:type="dxa" w:w="2160"/>
          </w:tcPr>
          <w:p>
            <w:r>
              <w:t>South/Islands: 80% subsidy</w:t>
            </w:r>
          </w:p>
        </w:tc>
      </w:tr>
    </w:tbl>
    <w:p/>
    <w:p>
      <w:r>
        <w:t>All scenarios share common assumptions on demographic trends, productivity growth, and world prices, isolating the impacts of climate policy design.</w:t>
      </w:r>
    </w:p>
    <w:p>
      <w:pPr>
        <w:pStyle w:val="Heading1"/>
      </w:pPr>
      <w:r>
        <w:t>7.2. BAU (Business-As-Usual) Scenario</w:t>
      </w:r>
    </w:p>
    <w:p>
      <w:pPr>
        <w:pStyle w:val="Heading2"/>
      </w:pPr>
      <w:r>
        <w:t>7.2.1. Definition and Rationale</w:t>
      </w:r>
    </w:p>
    <w:p>
      <w:r>
        <w:t>The BAU scenario represents a counterfactual baseline without strengthened climate policies beyond those already in place by 2021. It serves as the reference against which policy scenarios are evaluated.</w:t>
      </w:r>
    </w:p>
    <w:p>
      <w:r>
        <w:rPr>
          <w:b/>
        </w:rPr>
        <w:t>Key Assumptions:</w:t>
      </w:r>
    </w:p>
    <w:p>
      <w:pPr>
        <w:pStyle w:val="ListBullet"/>
      </w:pPr>
      <w:r>
        <w:t>No explicit carbon pricing: Sectors not covered by EU ETS face no carbon costs</w:t>
      </w:r>
    </w:p>
    <w:p>
      <w:pPr>
        <w:pStyle w:val="ListBullet"/>
      </w:pPr>
      <w:r>
        <w:t>AEEI continues at historical rate: Energy efficiency improves autonomously at 1.8% per year, driven by technological progress and turnover of capital stock</w:t>
      </w:r>
    </w:p>
    <w:p>
      <w:pPr>
        <w:pStyle w:val="ListBullet"/>
      </w:pPr>
      <w:r>
        <w:t>Renewable energy support: Existing subsidies and feed-in tariffs maintained at 2021 levels in real terms, but no new major support schemes</w:t>
      </w:r>
    </w:p>
    <w:p>
      <w:pPr>
        <w:pStyle w:val="ListBullet"/>
      </w:pPr>
      <w:r>
        <w:t>Regulatory baseline: Current energy efficiency standards (e.g., building codes, vehicle emissions) remain, but no tightening beyond scheduled improvements</w:t>
      </w:r>
    </w:p>
    <w:p>
      <w:pPr>
        <w:pStyle w:val="ListBullet"/>
      </w:pPr>
      <w:r>
        <w:t>International context: World fossil fuel prices follow IEA Stated Policies Scenario (STEPS), which assumes no strengthening of climate ambition globally</w:t>
      </w:r>
    </w:p>
    <w:p>
      <w:pPr>
        <w:pStyle w:val="Heading2"/>
      </w:pPr>
      <w:r>
        <w:t>7.2.2. Expected Outcomes</w:t>
      </w:r>
    </w:p>
    <w:p>
      <w:r>
        <w:t>Under BAU, Italy experiences modest decarbonization driven by autonomous technological change and existing policies, but insufficient to meet EU 2030 and 2040 targets:</w:t>
      </w:r>
    </w:p>
    <w:p>
      <w:pPr>
        <w:pStyle w:val="ListBullet"/>
      </w:pPr>
      <w:r>
        <w:t>CO₂ emissions decline from 466 MtCO₂ (2021) to approximately 380 MtCO₂ (2040), a 18% reduction</w:t>
      </w:r>
    </w:p>
    <w:p>
      <w:pPr>
        <w:pStyle w:val="ListBullet"/>
      </w:pPr>
      <w:r>
        <w:t>Renewable electricity share rises from 35% (2021) to ~50% (2040), primarily from cost competitiveness</w:t>
      </w:r>
    </w:p>
    <w:p>
      <w:pPr>
        <w:pStyle w:val="ListBullet"/>
      </w:pPr>
      <w:r>
        <w:t>GDP grows at 1.0-1.2% annually, driven by productivity gains offset by demographic decline</w:t>
      </w:r>
    </w:p>
    <w:p>
      <w:pPr>
        <w:pStyle w:val="ListBullet"/>
      </w:pPr>
      <w:r>
        <w:t>Energy intensity decreases steadily due to AEEI, but fuel mix remains dominated by gas and oil</w:t>
      </w:r>
    </w:p>
    <w:p>
      <w:pPr>
        <w:pStyle w:val="ListBullet"/>
      </w:pPr>
      <w:r>
        <w:t>Regional disparities persist: Northwest maintains highest GDP per capita, South lags in economic development</w:t>
      </w:r>
    </w:p>
    <w:p>
      <w:r>
        <w:t>BAU represents the path of least policy intervention, useful for understanding what would happen without additional climate action.</w:t>
      </w:r>
    </w:p>
    <w:p>
      <w:pPr>
        <w:pStyle w:val="Heading1"/>
      </w:pPr>
      <w:r>
        <w:t>7.3. ETS1 (Moderate Ambition) Scenario</w:t>
      </w:r>
    </w:p>
    <w:p>
      <w:pPr>
        <w:pStyle w:val="Heading2"/>
      </w:pPr>
      <w:r>
        <w:t>7.3.1. Carbon Pricing Mechanism</w:t>
      </w:r>
    </w:p>
    <w:p>
      <w:r>
        <w:t>ETS1 implements a carbon pricing system modeled on the EU Emissions Trading System (EU ETS) extension to sectors currently outside the scheme (transport, buildings, agriculture).</w:t>
      </w:r>
    </w:p>
    <w:p>
      <w:r>
        <w:rPr>
          <w:b/>
        </w:rPr>
        <w:t xml:space="preserve">Initial Carbon Price (2025): </w:t>
      </w:r>
      <w:r>
        <w:t>€53.90 per tonne of CO₂</w:t>
      </w:r>
    </w:p>
    <w:p>
      <w:r>
        <w:t>This starting price is calibrated to EU ETS market prices in 2023-2024, reflecting the post-reform market equilibrium with strengthened Linear Reduction Factor (4.2% annually) and Market Stability Reserve (MSR).</w:t>
      </w:r>
    </w:p>
    <w:p>
      <w:r>
        <w:rPr>
          <w:b/>
        </w:rPr>
        <w:t xml:space="preserve">Price Trajectory: </w:t>
      </w:r>
      <w:r>
        <w:t>4% annual growth rate (2025-2040)</w:t>
      </w:r>
    </w:p>
    <w:p>
      <w:r>
        <w:t>The 4% growth rate ensures the carbon price reaches approximately €120/tCO₂ by 2040, consistent with European Commission scenarios for achieving 55% emission reduction by 2030 and climate neutrality by 2050.</w:t>
      </w:r>
    </w:p>
    <w:tbl>
      <w:tblPr>
        <w:tblStyle w:val="LightGrid-Accent1"/>
        <w:tblW w:type="auto" w:w="0"/>
        <w:tblLook w:firstColumn="1" w:firstRow="1" w:lastColumn="0" w:lastRow="0" w:noHBand="0" w:noVBand="1" w:val="04A0"/>
      </w:tblPr>
      <w:tblGrid>
        <w:gridCol w:w="4320"/>
        <w:gridCol w:w="4320"/>
      </w:tblGrid>
      <w:tr>
        <w:tc>
          <w:tcPr>
            <w:tcW w:type="dxa" w:w="4320"/>
          </w:tcPr>
          <w:p>
            <w:r>
              <w:rPr>
                <w:b/>
              </w:rPr>
              <w:t>Year</w:t>
            </w:r>
          </w:p>
        </w:tc>
        <w:tc>
          <w:tcPr>
            <w:tcW w:type="dxa" w:w="4320"/>
          </w:tcPr>
          <w:p>
            <w:r>
              <w:rPr>
                <w:b/>
              </w:rPr>
              <w:t>Carbon Price (€/tCO₂)</w:t>
            </w:r>
          </w:p>
        </w:tc>
      </w:tr>
      <w:tr>
        <w:tc>
          <w:tcPr>
            <w:tcW w:type="dxa" w:w="4320"/>
          </w:tcPr>
          <w:p>
            <w:r>
              <w:t>2025</w:t>
            </w:r>
          </w:p>
        </w:tc>
        <w:tc>
          <w:tcPr>
            <w:tcW w:type="dxa" w:w="4320"/>
          </w:tcPr>
          <w:p>
            <w:r>
              <w:t>53.90</w:t>
            </w:r>
          </w:p>
        </w:tc>
      </w:tr>
      <w:tr>
        <w:tc>
          <w:tcPr>
            <w:tcW w:type="dxa" w:w="4320"/>
          </w:tcPr>
          <w:p>
            <w:r>
              <w:t>2030</w:t>
            </w:r>
          </w:p>
        </w:tc>
        <w:tc>
          <w:tcPr>
            <w:tcW w:type="dxa" w:w="4320"/>
          </w:tcPr>
          <w:p>
            <w:r>
              <w:t>65.62</w:t>
            </w:r>
          </w:p>
        </w:tc>
      </w:tr>
      <w:tr>
        <w:tc>
          <w:tcPr>
            <w:tcW w:type="dxa" w:w="4320"/>
          </w:tcPr>
          <w:p>
            <w:r>
              <w:t>2035</w:t>
            </w:r>
          </w:p>
        </w:tc>
        <w:tc>
          <w:tcPr>
            <w:tcW w:type="dxa" w:w="4320"/>
          </w:tcPr>
          <w:p>
            <w:r>
              <w:t>79.87</w:t>
            </w:r>
          </w:p>
        </w:tc>
      </w:tr>
      <w:tr>
        <w:tc>
          <w:tcPr>
            <w:tcW w:type="dxa" w:w="4320"/>
          </w:tcPr>
          <w:p>
            <w:r>
              <w:t>2040</w:t>
            </w:r>
          </w:p>
        </w:tc>
        <w:tc>
          <w:tcPr>
            <w:tcW w:type="dxa" w:w="4320"/>
          </w:tcPr>
          <w:p>
            <w:r>
              <w:t>97.20</w:t>
            </w:r>
          </w:p>
        </w:tc>
      </w:tr>
    </w:tbl>
    <w:p/>
    <w:p>
      <w:pPr>
        <w:pStyle w:val="Heading2"/>
      </w:pPr>
      <w:r>
        <w:t>7.3.2. Market Stability Reserve (MSR)</w:t>
      </w:r>
    </w:p>
    <w:p>
      <w:r>
        <w:t>ETS1 incorporates the Market Stability Reserve mechanism to prevent excessive price volatility:</w:t>
      </w:r>
    </w:p>
    <w:p>
      <w:r>
        <w:rPr>
          <w:b/>
        </w:rPr>
        <w:t>Mechanism Design:</w:t>
      </w:r>
    </w:p>
    <w:p>
      <w:pPr>
        <w:pStyle w:val="ListBullet"/>
      </w:pPr>
      <w:r>
        <w:t>Threshold monitoring: Total allowances in circulation (TNAC) monitored annually</w:t>
      </w:r>
    </w:p>
    <w:p>
      <w:pPr>
        <w:pStyle w:val="ListBullet"/>
      </w:pPr>
      <w:r>
        <w:t>Intake rule: If TNAC exceeds 833 million allowances, 24% of surplus withdrawn from auction and placed in reserve</w:t>
      </w:r>
    </w:p>
    <w:p>
      <w:pPr>
        <w:pStyle w:val="ListBullet"/>
      </w:pPr>
      <w:r>
        <w:t>Release rule: If TNAC falls below 400 million allowances, 100 million allowances released from reserve</w:t>
      </w:r>
    </w:p>
    <w:p>
      <w:pPr>
        <w:pStyle w:val="ListBullet"/>
      </w:pPr>
      <w:r>
        <w:t>Invalidation: Reserve allowances exceeding previous year's auctions are permanently canceled after 2023</w:t>
      </w:r>
    </w:p>
    <w:p>
      <w:pPr>
        <w:pStyle w:val="ListBullet"/>
      </w:pPr>
      <w:r>
        <w:t>Price stabilization: MSR prevents price crashes from over-allocation while allowing price signals to drive mitigation investment</w:t>
      </w:r>
    </w:p>
    <w:p>
      <w:r>
        <w:t>In CGE-I5, MSR is modeled as a price smoothing mechanism that dampens year-to-year price fluctuations while maintaining the 4% long-run trend. This reflects the empirical observation that MSR reduces short-term volatility without fundamentally altering the price trajectory (Perino et al., 2022).</w:t>
      </w:r>
    </w:p>
    <w:p>
      <w:pPr>
        <w:pStyle w:val="Heading2"/>
      </w:pPr>
      <w:r>
        <w:t>7.3.3. Sectoral Coverage</w:t>
      </w:r>
    </w:p>
    <w:p>
      <w:r>
        <w:t>ETS1 extends carbon pricing to sectors beyond the current EU ETS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Sector</w:t>
            </w:r>
          </w:p>
        </w:tc>
        <w:tc>
          <w:tcPr>
            <w:tcW w:type="dxa" w:w="2880"/>
          </w:tcPr>
          <w:p>
            <w:r>
              <w:rPr>
                <w:b/>
              </w:rPr>
              <w:t>Coverage</w:t>
            </w:r>
          </w:p>
        </w:tc>
        <w:tc>
          <w:tcPr>
            <w:tcW w:type="dxa" w:w="2880"/>
          </w:tcPr>
          <w:p>
            <w:r>
              <w:rPr>
                <w:b/>
              </w:rPr>
              <w:t>Implementation Note</w:t>
            </w:r>
          </w:p>
        </w:tc>
      </w:tr>
      <w:tr>
        <w:tc>
          <w:tcPr>
            <w:tcW w:type="dxa" w:w="2880"/>
          </w:tcPr>
          <w:p>
            <w:r>
              <w:t>Industry (IND)</w:t>
            </w:r>
          </w:p>
        </w:tc>
        <w:tc>
          <w:tcPr>
            <w:tcW w:type="dxa" w:w="2880"/>
          </w:tcPr>
          <w:p>
            <w:r>
              <w:t>100%</w:t>
            </w:r>
          </w:p>
        </w:tc>
        <w:tc>
          <w:tcPr>
            <w:tcW w:type="dxa" w:w="2880"/>
          </w:tcPr>
          <w:p>
            <w:r>
              <w:t>Already in EU ETS</w:t>
            </w:r>
          </w:p>
        </w:tc>
      </w:tr>
      <w:tr>
        <w:tc>
          <w:tcPr>
            <w:tcW w:type="dxa" w:w="2880"/>
          </w:tcPr>
          <w:p>
            <w:r>
              <w:t>Energy (GAS, OENERGY)</w:t>
            </w:r>
          </w:p>
        </w:tc>
        <w:tc>
          <w:tcPr>
            <w:tcW w:type="dxa" w:w="2880"/>
          </w:tcPr>
          <w:p>
            <w:r>
              <w:t>100%</w:t>
            </w:r>
          </w:p>
        </w:tc>
        <w:tc>
          <w:tcPr>
            <w:tcW w:type="dxa" w:w="2880"/>
          </w:tcPr>
          <w:p>
            <w:r>
              <w:t>Large installations in EU ETS</w:t>
            </w:r>
          </w:p>
        </w:tc>
      </w:tr>
      <w:tr>
        <w:tc>
          <w:tcPr>
            <w:tcW w:type="dxa" w:w="2880"/>
          </w:tcPr>
          <w:p>
            <w:r>
              <w:t>Road Transport (ROAD)</w:t>
            </w:r>
          </w:p>
        </w:tc>
        <w:tc>
          <w:tcPr>
            <w:tcW w:type="dxa" w:w="2880"/>
          </w:tcPr>
          <w:p>
            <w:r>
              <w:t>80%</w:t>
            </w:r>
          </w:p>
        </w:tc>
        <w:tc>
          <w:tcPr>
            <w:tcW w:type="dxa" w:w="2880"/>
          </w:tcPr>
          <w:p>
            <w:r>
              <w:t>Fuel distributors (ETS2 design)</w:t>
            </w:r>
          </w:p>
        </w:tc>
      </w:tr>
      <w:tr>
        <w:tc>
          <w:tcPr>
            <w:tcW w:type="dxa" w:w="2880"/>
          </w:tcPr>
          <w:p>
            <w:r>
              <w:t>Rail/Air/Water (RAIL, AIR, WATER)</w:t>
            </w:r>
          </w:p>
        </w:tc>
        <w:tc>
          <w:tcPr>
            <w:tcW w:type="dxa" w:w="2880"/>
          </w:tcPr>
          <w:p>
            <w:r>
              <w:t>60%</w:t>
            </w:r>
          </w:p>
        </w:tc>
        <w:tc>
          <w:tcPr>
            <w:tcW w:type="dxa" w:w="2880"/>
          </w:tcPr>
          <w:p>
            <w:r>
              <w:t>Partial coverage, aviation in EU ETS</w:t>
            </w:r>
          </w:p>
        </w:tc>
      </w:tr>
      <w:tr>
        <w:tc>
          <w:tcPr>
            <w:tcW w:type="dxa" w:w="2880"/>
          </w:tcPr>
          <w:p>
            <w:r>
              <w:t>Services (SERVICES)</w:t>
            </w:r>
          </w:p>
        </w:tc>
        <w:tc>
          <w:tcPr>
            <w:tcW w:type="dxa" w:w="2880"/>
          </w:tcPr>
          <w:p>
            <w:r>
              <w:t>40%</w:t>
            </w:r>
          </w:p>
        </w:tc>
        <w:tc>
          <w:tcPr>
            <w:tcW w:type="dxa" w:w="2880"/>
          </w:tcPr>
          <w:p>
            <w:r>
              <w:t>Buildings heating fuel (ETS2 design)</w:t>
            </w:r>
          </w:p>
        </w:tc>
      </w:tr>
      <w:tr>
        <w:tc>
          <w:tcPr>
            <w:tcW w:type="dxa" w:w="2880"/>
          </w:tcPr>
          <w:p>
            <w:r>
              <w:t>Agriculture (AGR)</w:t>
            </w:r>
          </w:p>
        </w:tc>
        <w:tc>
          <w:tcPr>
            <w:tcW w:type="dxa" w:w="2880"/>
          </w:tcPr>
          <w:p>
            <w:r>
              <w:t>20%</w:t>
            </w:r>
          </w:p>
        </w:tc>
        <w:tc>
          <w:tcPr>
            <w:tcW w:type="dxa" w:w="2880"/>
          </w:tcPr>
          <w:p>
            <w:r>
              <w:t>Limited to large operations</w:t>
            </w:r>
          </w:p>
        </w:tc>
      </w:tr>
    </w:tbl>
    <w:p/>
    <w:p>
      <w:r>
        <w:t>Coverage rates reflect practical implementation constraints and align with EU ETS2 proposals for buildings and road transport.</w:t>
      </w:r>
    </w:p>
    <w:p>
      <w:pPr>
        <w:pStyle w:val="Heading2"/>
      </w:pPr>
      <w:r>
        <w:t>7.3.4. Revenue Recycling and Regional Support</w:t>
      </w:r>
    </w:p>
    <w:p>
      <w:r>
        <w:t>Carbon pricing generates substantial government revenues, which are recycled to support economic transition:</w:t>
      </w:r>
    </w:p>
    <w:p>
      <w:r>
        <w:rPr>
          <w:b/>
        </w:rPr>
        <w:t>Revenue Allocation:</w:t>
      </w:r>
    </w:p>
    <w:p>
      <w:pPr>
        <w:pStyle w:val="ListBullet"/>
      </w:pPr>
      <w:r>
        <w:t>40%: Lump-sum rebates to households (per capita basis), offsetting regressive impacts and maintaining purchasing power</w:t>
      </w:r>
    </w:p>
    <w:p>
      <w:pPr>
        <w:pStyle w:val="ListBullet"/>
      </w:pPr>
      <w:r>
        <w:t>30%: Investment subsidies for renewable energy and energy efficiency, accelerating technology adoption</w:t>
      </w:r>
    </w:p>
    <w:p>
      <w:pPr>
        <w:pStyle w:val="ListBullet"/>
      </w:pPr>
      <w:r>
        <w:t>20%: Regional development programs, with 80% subsidy rate for renewable investments in South and Islands regions to address historical underdevelopment</w:t>
      </w:r>
    </w:p>
    <w:p>
      <w:pPr>
        <w:pStyle w:val="ListBullet"/>
      </w:pPr>
      <w:r>
        <w:t>10%: General budget support, reducing public debt or financing other public goods</w:t>
      </w:r>
    </w:p>
    <w:p>
      <w:r>
        <w:rPr>
          <w:b/>
        </w:rPr>
        <w:t>Southern Italy Acceleration Program:</w:t>
      </w:r>
    </w:p>
    <w:p>
      <w:r>
        <w:t>Recognizing persistent regional disparities, ETS1 includes targeted support for renewable energy deployment in South and Islands macro-regions:</w:t>
      </w:r>
    </w:p>
    <w:p>
      <w:pPr>
        <w:pStyle w:val="ListBullet"/>
      </w:pPr>
      <w:r>
        <w:t>Renewable investment subsidy: 80% of capital costs for solar, wind, and biomass projects</w:t>
      </w:r>
    </w:p>
    <w:p>
      <w:pPr>
        <w:pStyle w:val="ListBullet"/>
      </w:pPr>
      <w:r>
        <w:t>Rationale: Lower private capital availability and higher perceived risk in Southern regions</w:t>
      </w:r>
    </w:p>
    <w:p>
      <w:pPr>
        <w:pStyle w:val="ListBullet"/>
      </w:pPr>
      <w:r>
        <w:t>Expected impact: Narrow regional gap in renewable capacity from 35% (2021) to 10% (2040)</w:t>
      </w:r>
    </w:p>
    <w:p>
      <w:pPr>
        <w:pStyle w:val="ListBullet"/>
      </w:pPr>
      <w:r>
        <w:t>Co-benefits: Job creation in construction and O&amp;M, reduced electricity imports, local economic stimulus</w:t>
      </w:r>
    </w:p>
    <w:p>
      <w:pPr>
        <w:pStyle w:val="Heading1"/>
      </w:pPr>
      <w:r>
        <w:t>7.4. ETS2 (Ambitious Decarbonization) Scenario</w:t>
      </w:r>
    </w:p>
    <w:p>
      <w:pPr>
        <w:pStyle w:val="Heading2"/>
      </w:pPr>
      <w:r>
        <w:t>7.4.1. Enhanced Carbon Pricing</w:t>
      </w:r>
    </w:p>
    <w:p>
      <w:r>
        <w:t>ETS2 implements more ambitious carbon pricing aligned with achieving climate neutrality by 2050:</w:t>
      </w:r>
    </w:p>
    <w:p>
      <w:r>
        <w:rPr>
          <w:b/>
        </w:rPr>
        <w:t xml:space="preserve">Initial Carbon Price (2025): </w:t>
      </w:r>
      <w:r>
        <w:t>€45.00 per tonne of CO₂</w:t>
      </w:r>
    </w:p>
    <w:p>
      <w:r>
        <w:t>ETS2 starts at a lower initial price than ETS1, reflecting the proposed EU ETS2 design for buildings and transport. The lower starting point aims to ensure political acceptability and gradual adjustment.</w:t>
      </w:r>
    </w:p>
    <w:p>
      <w:r>
        <w:rPr>
          <w:b/>
        </w:rPr>
        <w:t xml:space="preserve">Price Trajectory: </w:t>
      </w:r>
      <w:r>
        <w:t>5% annual growth rate (2025-2040)</w:t>
      </w:r>
    </w:p>
    <w:p>
      <w:r>
        <w:t>The higher growth rate (5% vs. 4% in ETS1) reflects greater ambition, reaching approximately €115/tCO₂ by 2040. The steeper trajectory drives faster emissions reductions and accelerates the energy transition.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Year</w:t>
            </w:r>
          </w:p>
        </w:tc>
        <w:tc>
          <w:tcPr>
            <w:tcW w:type="dxa" w:w="4320"/>
          </w:tcPr>
          <w:p>
            <w:r>
              <w:rPr>
                <w:b/>
              </w:rPr>
              <w:t>Carbon Price (€/tCO₂)</w:t>
            </w:r>
          </w:p>
        </w:tc>
      </w:tr>
      <w:tr>
        <w:tc>
          <w:tcPr>
            <w:tcW w:type="dxa" w:w="4320"/>
          </w:tcPr>
          <w:p>
            <w:r>
              <w:t>2025</w:t>
            </w:r>
          </w:p>
        </w:tc>
        <w:tc>
          <w:tcPr>
            <w:tcW w:type="dxa" w:w="4320"/>
          </w:tcPr>
          <w:p>
            <w:r>
              <w:t>45.00</w:t>
            </w:r>
          </w:p>
        </w:tc>
      </w:tr>
      <w:tr>
        <w:tc>
          <w:tcPr>
            <w:tcW w:type="dxa" w:w="4320"/>
          </w:tcPr>
          <w:p>
            <w:r>
              <w:t>2030</w:t>
            </w:r>
          </w:p>
        </w:tc>
        <w:tc>
          <w:tcPr>
            <w:tcW w:type="dxa" w:w="4320"/>
          </w:tcPr>
          <w:p>
            <w:r>
              <w:t>57.42</w:t>
            </w:r>
          </w:p>
        </w:tc>
      </w:tr>
      <w:tr>
        <w:tc>
          <w:tcPr>
            <w:tcW w:type="dxa" w:w="4320"/>
          </w:tcPr>
          <w:p>
            <w:r>
              <w:t>2035</w:t>
            </w:r>
          </w:p>
        </w:tc>
        <w:tc>
          <w:tcPr>
            <w:tcW w:type="dxa" w:w="4320"/>
          </w:tcPr>
          <w:p>
            <w:r>
              <w:t>73.24</w:t>
            </w:r>
          </w:p>
        </w:tc>
      </w:tr>
      <w:tr>
        <w:tc>
          <w:tcPr>
            <w:tcW w:type="dxa" w:w="4320"/>
          </w:tcPr>
          <w:p>
            <w:r>
              <w:t>2040</w:t>
            </w:r>
          </w:p>
        </w:tc>
        <w:tc>
          <w:tcPr>
            <w:tcW w:type="dxa" w:w="4320"/>
          </w:tcPr>
          <w:p>
            <w:r>
              <w:t>93.40</w:t>
            </w:r>
          </w:p>
        </w:tc>
      </w:tr>
    </w:tbl>
    <w:p/>
    <w:p>
      <w:pPr>
        <w:pStyle w:val="Heading2"/>
      </w:pPr>
      <w:r>
        <w:t>7.4.2. Price Stability Mechanism (PSM)</w:t>
      </w:r>
    </w:p>
    <w:p>
      <w:r>
        <w:t>Unlike ETS1's Market Stability Reserve, ETS2 employs a Price Stability Mechanism with explicit price bounds:</w:t>
      </w:r>
    </w:p>
    <w:p>
      <w:r>
        <w:rPr>
          <w:b/>
        </w:rPr>
        <w:t xml:space="preserve">Price Ceiling: </w:t>
      </w:r>
      <w:r>
        <w:t>€120 per tonne of CO₂</w:t>
      </w:r>
    </w:p>
    <w:p>
      <w:r>
        <w:t>The ceiling protects against excessive price spikes that could threaten economic stability or political support. If the price reaches €120, additional allowances are released to stabilize the market.</w:t>
      </w:r>
    </w:p>
    <w:p>
      <w:r>
        <w:rPr>
          <w:b/>
        </w:rPr>
        <w:t xml:space="preserve">Price Floor: </w:t>
      </w:r>
      <w:r>
        <w:t>€30 per tonne of CO₂ (implicit through reserve price)</w:t>
      </w:r>
    </w:p>
    <w:p>
      <w:r>
        <w:t>The floor prevents price collapse from over-allocation or economic shocks, maintaining minimum incentive for decarbonization investment. Implemented through minimum auction price.</w:t>
      </w:r>
    </w:p>
    <w:p>
      <w:r>
        <w:rPr>
          <w:b/>
        </w:rPr>
        <w:t>Rationale:</w:t>
      </w:r>
    </w:p>
    <w:p>
      <w:r>
        <w:t>PSM provides greater certainty than MSR for long-term investment planning. Clear price bounds reduce regulatory risk, potentially lowering the cost of capital for renewable energy projects and accelerating deployment. The trade-off is less flexibility to adjust to unforeseen emission trends.</w:t>
      </w:r>
    </w:p>
    <w:p>
      <w:pPr>
        <w:pStyle w:val="Heading2"/>
      </w:pPr>
      <w:r>
        <w:t>7.4.3. Enhanced Regional Policy</w:t>
      </w:r>
    </w:p>
    <w:p>
      <w:r>
        <w:t>ETS2 maintains the 80% subsidy for renewable investments in South and Islands but adds complementary policies:</w:t>
      </w:r>
    </w:p>
    <w:p>
      <w:pPr>
        <w:pStyle w:val="ListBullet"/>
      </w:pPr>
      <w:r>
        <w:t>Skills training programs: €500 million for workforce development in renewable energy installation and maintenance, addressing local labor market constraints</w:t>
      </w:r>
    </w:p>
    <w:p>
      <w:pPr>
        <w:pStyle w:val="ListBullet"/>
      </w:pPr>
      <w:r>
        <w:t>Grid infrastructure upgrades: €2 billion for transmission and distribution improvements in Southern regions, reducing curtailment of renewable generation</w:t>
      </w:r>
    </w:p>
    <w:p>
      <w:pPr>
        <w:pStyle w:val="ListBullet"/>
      </w:pPr>
      <w:r>
        <w:t>Just transition support: €1 billion for communities affected by fossil fuel phase-out, supporting economic diversification and worker retraining</w:t>
      </w:r>
    </w:p>
    <w:p>
      <w:pPr>
        <w:pStyle w:val="ListBullet"/>
      </w:pPr>
      <w:r>
        <w:t>SME green transition fund: €300 million in low-interest loans for small and medium enterprises to adopt clean technologies and improve energy efficiency</w:t>
      </w:r>
    </w:p>
    <w:p>
      <w:r>
        <w:t>These complementary policies address non-price barriers to decarbonization, particularly important in regions with lower institutional capacity and higher financing costs.</w:t>
      </w:r>
    </w:p>
    <w:p>
      <w:pPr>
        <w:pStyle w:val="Heading1"/>
      </w:pPr>
      <w:r>
        <w:t>7.5. Cross-Scenario Analysis Framework</w:t>
      </w:r>
    </w:p>
    <w:p>
      <w:pPr>
        <w:pStyle w:val="Heading2"/>
      </w:pPr>
      <w:r>
        <w:t>7.5.1. Key Performance Indicators</w:t>
      </w:r>
    </w:p>
    <w:p>
      <w:r>
        <w:t>Scenario outcomes are evaluated using a comprehensive set of indicators:</w:t>
      </w:r>
    </w:p>
    <w:p>
      <w:r>
        <w:rPr>
          <w:b/>
        </w:rPr>
        <w:t>Environmental Effectiveness:</w:t>
      </w:r>
    </w:p>
    <w:p>
      <w:pPr>
        <w:pStyle w:val="ListBullet"/>
      </w:pPr>
      <w:r>
        <w:t>Total CO₂ emissions (MtCO₂) and reduction relative to 2021 baseline</w:t>
      </w:r>
    </w:p>
    <w:p>
      <w:pPr>
        <w:pStyle w:val="ListBullet"/>
      </w:pPr>
      <w:r>
        <w:t>Carbon intensity (kg CO₂ per € of GDP)</w:t>
      </w:r>
    </w:p>
    <w:p>
      <w:pPr>
        <w:pStyle w:val="ListBullet"/>
      </w:pPr>
      <w:r>
        <w:t>Renewable electricity share (%)</w:t>
      </w:r>
    </w:p>
    <w:p>
      <w:pPr>
        <w:pStyle w:val="ListBullet"/>
      </w:pPr>
      <w:r>
        <w:t>Energy intensity (MWh per € million of GDP)</w:t>
      </w:r>
    </w:p>
    <w:p>
      <w:r>
        <w:rPr>
          <w:b/>
        </w:rPr>
        <w:t>Economic Impact:</w:t>
      </w:r>
    </w:p>
    <w:p>
      <w:pPr>
        <w:pStyle w:val="ListBullet"/>
      </w:pPr>
      <w:r>
        <w:t>GDP growth rate and level relative to BAU (%)</w:t>
      </w:r>
    </w:p>
    <w:p>
      <w:pPr>
        <w:pStyle w:val="ListBullet"/>
      </w:pPr>
      <w:r>
        <w:t>Sectoral output changes, particularly energy-intensive industries</w:t>
      </w:r>
    </w:p>
    <w:p>
      <w:pPr>
        <w:pStyle w:val="ListBullet"/>
      </w:pPr>
      <w:r>
        <w:t>Employment effects by sector and region</w:t>
      </w:r>
    </w:p>
    <w:p>
      <w:pPr>
        <w:pStyle w:val="ListBullet"/>
      </w:pPr>
      <w:r>
        <w:t>Household welfare (Hicksian Equivalent Variation)</w:t>
      </w:r>
    </w:p>
    <w:p>
      <w:pPr>
        <w:pStyle w:val="ListBullet"/>
      </w:pPr>
      <w:r>
        <w:t>Carbon pricing revenue and recycling impacts</w:t>
      </w:r>
    </w:p>
    <w:p>
      <w:r>
        <w:rPr>
          <w:b/>
        </w:rPr>
        <w:t>Distributional Outcomes:</w:t>
      </w:r>
    </w:p>
    <w:p>
      <w:pPr>
        <w:pStyle w:val="ListBullet"/>
      </w:pPr>
      <w:r>
        <w:t>Regional GDP and income disparities</w:t>
      </w:r>
    </w:p>
    <w:p>
      <w:pPr>
        <w:pStyle w:val="ListBullet"/>
      </w:pPr>
      <w:r>
        <w:t>Household consumption by income quintile</w:t>
      </w:r>
    </w:p>
    <w:p>
      <w:pPr>
        <w:pStyle w:val="ListBullet"/>
      </w:pPr>
      <w:r>
        <w:t>Regional renewable capacity distribution</w:t>
      </w:r>
    </w:p>
    <w:p>
      <w:pPr>
        <w:pStyle w:val="ListBullet"/>
      </w:pPr>
      <w:r>
        <w:t>Employment creation in renewable energy by region</w:t>
      </w:r>
    </w:p>
    <w:p>
      <w:pPr>
        <w:pStyle w:val="Heading2"/>
      </w:pPr>
      <w:r>
        <w:t>7.5.2. Simulation Protocol</w:t>
      </w:r>
    </w:p>
    <w:p>
      <w:r>
        <w:t>All scenarios are simulated using consistent methodology:</w:t>
      </w:r>
    </w:p>
    <w:p>
      <w:pPr>
        <w:pStyle w:val="ListNumber"/>
      </w:pPr>
      <w:r>
        <w:t>1. Base year calibration: Model calibrated to 2021 SAM and validation checks passed</w:t>
      </w:r>
    </w:p>
    <w:p>
      <w:pPr>
        <w:pStyle w:val="ListNumber"/>
      </w:pPr>
      <w:r>
        <w:t>2. Recursive dynamic solution: Model solved annually 2022-2040, with forward-looking expectations on prices and policy trajectory</w:t>
      </w:r>
    </w:p>
    <w:p>
      <w:pPr>
        <w:pStyle w:val="ListNumber"/>
      </w:pPr>
      <w:r>
        <w:t>3. Convergence criteria: Each annual equilibrium solved to tolerance of 0.01% on all market clearing conditions</w:t>
      </w:r>
    </w:p>
    <w:p>
      <w:pPr>
        <w:pStyle w:val="ListNumber"/>
      </w:pPr>
      <w:r>
        <w:t>4. Sensitivity analysis: Key parameters varied ±25% to assess robustness of results</w:t>
      </w:r>
    </w:p>
    <w:p>
      <w:pPr>
        <w:pStyle w:val="ListNumber"/>
      </w:pPr>
      <w:r>
        <w:t>5. Comparison metric: All policy scenarios compared to BAU baseline using same underlying assumptions on demographics, productivity, and world prices</w:t>
      </w:r>
    </w:p>
    <w:p>
      <w:pPr>
        <w:pStyle w:val="Heading2"/>
      </w:pPr>
      <w:r>
        <w:t>7.5.3. Limitations and Caveats</w:t>
      </w:r>
    </w:p>
    <w:p>
      <w:r>
        <w:t>Several important limitations should be kept in mind when interpreting scenario results:</w:t>
      </w:r>
    </w:p>
    <w:p>
      <w:pPr>
        <w:pStyle w:val="ListBullet"/>
      </w:pPr>
      <w:r>
        <w:t>Perfect foresight: Model assumes agents have perfect knowledge of future policies, likely overestimating smoothness of adjustment</w:t>
      </w:r>
    </w:p>
    <w:p>
      <w:pPr>
        <w:pStyle w:val="ListBullet"/>
      </w:pPr>
      <w:r>
        <w:t>No uncertainty: Single deterministic path per scenario, ignoring stochastic shocks and policy uncertainty that affect real-world investment decisions</w:t>
      </w:r>
    </w:p>
    <w:p>
      <w:pPr>
        <w:pStyle w:val="ListBullet"/>
      </w:pPr>
      <w:r>
        <w:t>Technology representation: Renewable energy modeled through aggregate investment and capacity, not explicit technology choices (solar vs. wind vs. others)</w:t>
      </w:r>
    </w:p>
    <w:p>
      <w:pPr>
        <w:pStyle w:val="ListBullet"/>
      </w:pPr>
      <w:r>
        <w:t>Behavioral responses: Consumer preferences assumed stable; does not capture potential shifts in attitudes toward sustainability or green consumption</w:t>
      </w:r>
    </w:p>
    <w:p>
      <w:pPr>
        <w:pStyle w:val="ListBullet"/>
      </w:pPr>
      <w:r>
        <w:t>International spillovers: Rest-of-world treated as exogenous; does not model carbon leakage or impacts of Italian policy on trade partners</w:t>
      </w:r>
    </w:p>
    <w:p>
      <w:pPr>
        <w:pStyle w:val="ListBullet"/>
      </w:pPr>
      <w:r>
        <w:t>Innovation and learning: Technology costs decline exogenously (AEEI); does not endogenize induced innovation or learning-by-doing effects from policy</w:t>
      </w:r>
    </w:p>
    <w:p>
      <w:r>
        <w:t>These limitations are inherent to CGE modeling and should be weighed against the model's strengths in capturing economy-wide interactions and general equilibrium effects. Results should be interpreted as illustrative scenarios rather than precise forecasts.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