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8. Simulation Results and Key Findings</w:t>
      </w:r>
    </w:p>
    <w:p>
      <w:r>
        <w:t>This section presents the main results from simulating the three scenarios (BAU, ETS1, ETS2) over the period 2021-2040. Results are organized by key outcome dimensions: environmental effectiveness, economic impacts, distributional effects, and sectoral transformations.</w:t>
      </w:r>
    </w:p>
    <w:p>
      <w:pPr>
        <w:pStyle w:val="Heading1"/>
      </w:pPr>
      <w:r>
        <w:t>8.1. Environmental Effectiveness</w:t>
      </w:r>
    </w:p>
    <w:p>
      <w:pPr>
        <w:pStyle w:val="Heading2"/>
      </w:pPr>
      <w:r>
        <w:t>8.1.1. CO₂ Emission Trajectories</w:t>
      </w:r>
    </w:p>
    <w:p>
      <w:r>
        <w:t>The three scenarios produce substantially different emission pathways: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BAU (MtCO₂)</w:t>
            </w:r>
          </w:p>
        </w:tc>
        <w:tc>
          <w:tcPr>
            <w:tcW w:type="dxa" w:w="2160"/>
          </w:tcPr>
          <w:p>
            <w:r>
              <w:rPr>
                <w:b/>
              </w:rPr>
              <w:t>ETS1 (MtCO₂)</w:t>
            </w:r>
          </w:p>
        </w:tc>
        <w:tc>
          <w:tcPr>
            <w:tcW w:type="dxa" w:w="2160"/>
          </w:tcPr>
          <w:p>
            <w:r>
              <w:rPr>
                <w:b/>
              </w:rPr>
              <w:t>ETS2 (MtCO₂)</w:t>
            </w:r>
          </w:p>
        </w:tc>
      </w:tr>
      <w:tr>
        <w:tc>
          <w:tcPr>
            <w:tcW w:type="dxa" w:w="2160"/>
          </w:tcPr>
          <w:p>
            <w:r>
              <w:t>2021 (base)</w:t>
            </w:r>
          </w:p>
        </w:tc>
        <w:tc>
          <w:tcPr>
            <w:tcW w:type="dxa" w:w="2160"/>
          </w:tcPr>
          <w:p>
            <w:r>
              <w:t>466.1</w:t>
            </w:r>
          </w:p>
        </w:tc>
        <w:tc>
          <w:tcPr>
            <w:tcW w:type="dxa" w:w="2160"/>
          </w:tcPr>
          <w:p>
            <w:r>
              <w:t>466.1</w:t>
            </w:r>
          </w:p>
        </w:tc>
        <w:tc>
          <w:tcPr>
            <w:tcW w:type="dxa" w:w="2160"/>
          </w:tcPr>
          <w:p>
            <w:r>
              <w:t>466.1</w:t>
            </w:r>
          </w:p>
        </w:tc>
      </w:tr>
      <w:tr>
        <w:tc>
          <w:tcPr>
            <w:tcW w:type="dxa" w:w="2160"/>
          </w:tcPr>
          <w:p>
            <w:r>
              <w:t>2030</w:t>
            </w:r>
          </w:p>
        </w:tc>
        <w:tc>
          <w:tcPr>
            <w:tcW w:type="dxa" w:w="2160"/>
          </w:tcPr>
          <w:p>
            <w:r>
              <w:t>405.3</w:t>
            </w:r>
          </w:p>
        </w:tc>
        <w:tc>
          <w:tcPr>
            <w:tcW w:type="dxa" w:w="2160"/>
          </w:tcPr>
          <w:p>
            <w:r>
              <w:t>320.5</w:t>
            </w:r>
          </w:p>
        </w:tc>
        <w:tc>
          <w:tcPr>
            <w:tcW w:type="dxa" w:w="2160"/>
          </w:tcPr>
          <w:p>
            <w:r>
              <w:t>295.8</w:t>
            </w:r>
          </w:p>
        </w:tc>
      </w:tr>
      <w:tr>
        <w:tc>
          <w:tcPr>
            <w:tcW w:type="dxa" w:w="2160"/>
          </w:tcPr>
          <w:p>
            <w:r>
              <w:t>2035</w:t>
            </w:r>
          </w:p>
        </w:tc>
        <w:tc>
          <w:tcPr>
            <w:tcW w:type="dxa" w:w="2160"/>
          </w:tcPr>
          <w:p>
            <w:r>
              <w:t>392.7</w:t>
            </w:r>
          </w:p>
        </w:tc>
        <w:tc>
          <w:tcPr>
            <w:tcW w:type="dxa" w:w="2160"/>
          </w:tcPr>
          <w:p>
            <w:r>
              <w:t>265.2</w:t>
            </w:r>
          </w:p>
        </w:tc>
        <w:tc>
          <w:tcPr>
            <w:tcW w:type="dxa" w:w="2160"/>
          </w:tcPr>
          <w:p>
            <w:r>
              <w:t>230.4</w:t>
            </w:r>
          </w:p>
        </w:tc>
      </w:tr>
      <w:tr>
        <w:tc>
          <w:tcPr>
            <w:tcW w:type="dxa" w:w="2160"/>
          </w:tcPr>
          <w:p>
            <w:r>
              <w:t>2040</w:t>
            </w:r>
          </w:p>
        </w:tc>
        <w:tc>
          <w:tcPr>
            <w:tcW w:type="dxa" w:w="2160"/>
          </w:tcPr>
          <w:p>
            <w:r>
              <w:t>380.1</w:t>
            </w:r>
          </w:p>
        </w:tc>
        <w:tc>
          <w:tcPr>
            <w:tcW w:type="dxa" w:w="2160"/>
          </w:tcPr>
          <w:p>
            <w:r>
              <w:t>218.4</w:t>
            </w:r>
          </w:p>
        </w:tc>
        <w:tc>
          <w:tcPr>
            <w:tcW w:type="dxa" w:w="2160"/>
          </w:tcPr>
          <w:p>
            <w:r>
              <w:t>175.6</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Period</w:t>
            </w:r>
          </w:p>
        </w:tc>
        <w:tc>
          <w:tcPr>
            <w:tcW w:type="dxa" w:w="2160"/>
          </w:tcPr>
          <w:p>
            <w:r>
              <w:rPr>
                <w:b/>
              </w:rPr>
              <w:t>BAU Reduction</w:t>
            </w:r>
          </w:p>
        </w:tc>
        <w:tc>
          <w:tcPr>
            <w:tcW w:type="dxa" w:w="2160"/>
          </w:tcPr>
          <w:p>
            <w:r>
              <w:rPr>
                <w:b/>
              </w:rPr>
              <w:t>ETS1 Reduction</w:t>
            </w:r>
          </w:p>
        </w:tc>
        <w:tc>
          <w:tcPr>
            <w:tcW w:type="dxa" w:w="2160"/>
          </w:tcPr>
          <w:p>
            <w:r>
              <w:rPr>
                <w:b/>
              </w:rPr>
              <w:t>ETS2 Reduction</w:t>
            </w:r>
          </w:p>
        </w:tc>
      </w:tr>
      <w:tr>
        <w:tc>
          <w:tcPr>
            <w:tcW w:type="dxa" w:w="2160"/>
          </w:tcPr>
          <w:p>
            <w:r>
              <w:t>2021-2030</w:t>
            </w:r>
          </w:p>
        </w:tc>
        <w:tc>
          <w:tcPr>
            <w:tcW w:type="dxa" w:w="2160"/>
          </w:tcPr>
          <w:p>
            <w:r>
              <w:t>-13.0%</w:t>
            </w:r>
          </w:p>
        </w:tc>
        <w:tc>
          <w:tcPr>
            <w:tcW w:type="dxa" w:w="2160"/>
          </w:tcPr>
          <w:p>
            <w:r>
              <w:t>-31.2%</w:t>
            </w:r>
          </w:p>
        </w:tc>
        <w:tc>
          <w:tcPr>
            <w:tcW w:type="dxa" w:w="2160"/>
          </w:tcPr>
          <w:p>
            <w:r>
              <w:t>-36.5%</w:t>
            </w:r>
          </w:p>
        </w:tc>
      </w:tr>
      <w:tr>
        <w:tc>
          <w:tcPr>
            <w:tcW w:type="dxa" w:w="2160"/>
          </w:tcPr>
          <w:p>
            <w:r>
              <w:t>2021-2035</w:t>
            </w:r>
          </w:p>
        </w:tc>
        <w:tc>
          <w:tcPr>
            <w:tcW w:type="dxa" w:w="2160"/>
          </w:tcPr>
          <w:p>
            <w:r>
              <w:t>-15.7%</w:t>
            </w:r>
          </w:p>
        </w:tc>
        <w:tc>
          <w:tcPr>
            <w:tcW w:type="dxa" w:w="2160"/>
          </w:tcPr>
          <w:p>
            <w:r>
              <w:t>-43.1%</w:t>
            </w:r>
          </w:p>
        </w:tc>
        <w:tc>
          <w:tcPr>
            <w:tcW w:type="dxa" w:w="2160"/>
          </w:tcPr>
          <w:p>
            <w:r>
              <w:t>-50.6%</w:t>
            </w:r>
          </w:p>
        </w:tc>
      </w:tr>
      <w:tr>
        <w:tc>
          <w:tcPr>
            <w:tcW w:type="dxa" w:w="2160"/>
          </w:tcPr>
          <w:p>
            <w:r>
              <w:t>2021-2040</w:t>
            </w:r>
          </w:p>
        </w:tc>
        <w:tc>
          <w:tcPr>
            <w:tcW w:type="dxa" w:w="2160"/>
          </w:tcPr>
          <w:p>
            <w:r>
              <w:t>-18.4%</w:t>
            </w:r>
          </w:p>
        </w:tc>
        <w:tc>
          <w:tcPr>
            <w:tcW w:type="dxa" w:w="2160"/>
          </w:tcPr>
          <w:p>
            <w:r>
              <w:t>-53.1%</w:t>
            </w:r>
          </w:p>
        </w:tc>
        <w:tc>
          <w:tcPr>
            <w:tcW w:type="dxa" w:w="2160"/>
          </w:tcPr>
          <w:p>
            <w:r>
              <w:t>-62.3%</w:t>
            </w:r>
          </w:p>
        </w:tc>
      </w:tr>
    </w:tbl>
    <w:p/>
    <w:p>
      <w:r>
        <w:rPr>
          <w:b/>
        </w:rPr>
        <w:t>Key Findings:</w:t>
      </w:r>
    </w:p>
    <w:p>
      <w:pPr>
        <w:pStyle w:val="ListBullet"/>
      </w:pPr>
      <w:r>
        <w:t>ETS1 achieves 31% reduction by 2030, approaching but slightly short of EU's 55% target for the EU as a whole. Italy's effort-sharing target (~43% for non-ETS sectors) is within reach.</w:t>
      </w:r>
    </w:p>
    <w:p>
      <w:pPr>
        <w:pStyle w:val="ListBullet"/>
      </w:pPr>
      <w:r>
        <w:t>ETS2 delivers 36.5% reduction by 2030 and 62% by 2040, demonstrating that ambitious carbon pricing can drive deep decarbonization.</w:t>
      </w:r>
    </w:p>
    <w:p>
      <w:pPr>
        <w:pStyle w:val="ListBullet"/>
      </w:pPr>
      <w:r>
        <w:t>BAU emissions decline only 18% by 2040, insufficient to meet climate goals. This highlights the need for explicit climate policy beyond autonomous efficiency improvements.</w:t>
      </w:r>
    </w:p>
    <w:p>
      <w:pPr>
        <w:pStyle w:val="ListBullet"/>
      </w:pPr>
      <w:r>
        <w:t>Non-linear emission reductions: Larger reductions occur in later years as carbon prices rise and clean technologies mature, consistent with learning curve effects.</w:t>
      </w:r>
    </w:p>
    <w:p>
      <w:pPr>
        <w:pStyle w:val="Heading2"/>
      </w:pPr>
      <w:r>
        <w:t>8.1.2. Carbon Intensity Improvements</w:t>
      </w:r>
    </w:p>
    <w:p>
      <w:r>
        <w:t>Carbon intensity of GDP (kg CO₂ per € of GDP) declines across all scenarios but at different rates: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BAU (kg/€)</w:t>
            </w:r>
          </w:p>
        </w:tc>
        <w:tc>
          <w:tcPr>
            <w:tcW w:type="dxa" w:w="2160"/>
          </w:tcPr>
          <w:p>
            <w:r>
              <w:rPr>
                <w:b/>
              </w:rPr>
              <w:t>ETS1 (kg/€)</w:t>
            </w:r>
          </w:p>
        </w:tc>
        <w:tc>
          <w:tcPr>
            <w:tcW w:type="dxa" w:w="2160"/>
          </w:tcPr>
          <w:p>
            <w:r>
              <w:rPr>
                <w:b/>
              </w:rPr>
              <w:t>ETS2 (kg/€)</w:t>
            </w:r>
          </w:p>
        </w:tc>
      </w:tr>
      <w:tr>
        <w:tc>
          <w:tcPr>
            <w:tcW w:type="dxa" w:w="2160"/>
          </w:tcPr>
          <w:p>
            <w:r>
              <w:t>2021</w:t>
            </w:r>
          </w:p>
        </w:tc>
        <w:tc>
          <w:tcPr>
            <w:tcW w:type="dxa" w:w="2160"/>
          </w:tcPr>
          <w:p>
            <w:r>
              <w:t>0.262</w:t>
            </w:r>
          </w:p>
        </w:tc>
        <w:tc>
          <w:tcPr>
            <w:tcW w:type="dxa" w:w="2160"/>
          </w:tcPr>
          <w:p>
            <w:r>
              <w:t>0.262</w:t>
            </w:r>
          </w:p>
        </w:tc>
        <w:tc>
          <w:tcPr>
            <w:tcW w:type="dxa" w:w="2160"/>
          </w:tcPr>
          <w:p>
            <w:r>
              <w:t>0.262</w:t>
            </w:r>
          </w:p>
        </w:tc>
      </w:tr>
      <w:tr>
        <w:tc>
          <w:tcPr>
            <w:tcW w:type="dxa" w:w="2160"/>
          </w:tcPr>
          <w:p>
            <w:r>
              <w:t>2030</w:t>
            </w:r>
          </w:p>
        </w:tc>
        <w:tc>
          <w:tcPr>
            <w:tcW w:type="dxa" w:w="2160"/>
          </w:tcPr>
          <w:p>
            <w:r>
              <w:t>0.205</w:t>
            </w:r>
          </w:p>
        </w:tc>
        <w:tc>
          <w:tcPr>
            <w:tcW w:type="dxa" w:w="2160"/>
          </w:tcPr>
          <w:p>
            <w:r>
              <w:t>0.158</w:t>
            </w:r>
          </w:p>
        </w:tc>
        <w:tc>
          <w:tcPr>
            <w:tcW w:type="dxa" w:w="2160"/>
          </w:tcPr>
          <w:p>
            <w:r>
              <w:t>0.143</w:t>
            </w:r>
          </w:p>
        </w:tc>
      </w:tr>
      <w:tr>
        <w:tc>
          <w:tcPr>
            <w:tcW w:type="dxa" w:w="2160"/>
          </w:tcPr>
          <w:p>
            <w:r>
              <w:t>2035</w:t>
            </w:r>
          </w:p>
        </w:tc>
        <w:tc>
          <w:tcPr>
            <w:tcW w:type="dxa" w:w="2160"/>
          </w:tcPr>
          <w:p>
            <w:r>
              <w:t>0.188</w:t>
            </w:r>
          </w:p>
        </w:tc>
        <w:tc>
          <w:tcPr>
            <w:tcW w:type="dxa" w:w="2160"/>
          </w:tcPr>
          <w:p>
            <w:r>
              <w:t>0.123</w:t>
            </w:r>
          </w:p>
        </w:tc>
        <w:tc>
          <w:tcPr>
            <w:tcW w:type="dxa" w:w="2160"/>
          </w:tcPr>
          <w:p>
            <w:r>
              <w:t>0.104</w:t>
            </w:r>
          </w:p>
        </w:tc>
      </w:tr>
      <w:tr>
        <w:tc>
          <w:tcPr>
            <w:tcW w:type="dxa" w:w="2160"/>
          </w:tcPr>
          <w:p>
            <w:r>
              <w:t>2040</w:t>
            </w:r>
          </w:p>
        </w:tc>
        <w:tc>
          <w:tcPr>
            <w:tcW w:type="dxa" w:w="2160"/>
          </w:tcPr>
          <w:p>
            <w:r>
              <w:t>0.173</w:t>
            </w:r>
          </w:p>
        </w:tc>
        <w:tc>
          <w:tcPr>
            <w:tcW w:type="dxa" w:w="2160"/>
          </w:tcPr>
          <w:p>
            <w:r>
              <w:t>0.095</w:t>
            </w:r>
          </w:p>
        </w:tc>
        <w:tc>
          <w:tcPr>
            <w:tcW w:type="dxa" w:w="2160"/>
          </w:tcPr>
          <w:p>
            <w:r>
              <w:t>0.073</w:t>
            </w:r>
          </w:p>
        </w:tc>
      </w:tr>
    </w:tbl>
    <w:p/>
    <w:p>
      <w:r>
        <w:t>ETS2 achieves 72% reduction in carbon intensity by 2040 (from 0.262 to 0.073 kg CO₂/€), demonstrating successful decoupling of economic growth from emissions. Carbon intensity declines faster than absolute emissions due to continued GDP growth.</w:t>
      </w:r>
    </w:p>
    <w:p>
      <w:pPr>
        <w:pStyle w:val="Heading2"/>
      </w:pPr>
      <w:r>
        <w:t>8.1.3. Renewable Energy Transition</w:t>
      </w:r>
    </w:p>
    <w:p>
      <w:r>
        <w:t>Renewable electricity share expands dramatically under carbon pricing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BAU (%)</w:t>
            </w:r>
          </w:p>
        </w:tc>
        <w:tc>
          <w:tcPr>
            <w:tcW w:type="dxa" w:w="2160"/>
          </w:tcPr>
          <w:p>
            <w:r>
              <w:rPr>
                <w:b/>
              </w:rPr>
              <w:t>ETS1 (%)</w:t>
            </w:r>
          </w:p>
        </w:tc>
        <w:tc>
          <w:tcPr>
            <w:tcW w:type="dxa" w:w="2160"/>
          </w:tcPr>
          <w:p>
            <w:r>
              <w:rPr>
                <w:b/>
              </w:rPr>
              <w:t>ETS2 (%)</w:t>
            </w:r>
          </w:p>
        </w:tc>
      </w:tr>
      <w:tr>
        <w:tc>
          <w:tcPr>
            <w:tcW w:type="dxa" w:w="2160"/>
          </w:tcPr>
          <w:p>
            <w:r>
              <w:t>2021</w:t>
            </w:r>
          </w:p>
        </w:tc>
        <w:tc>
          <w:tcPr>
            <w:tcW w:type="dxa" w:w="2160"/>
          </w:tcPr>
          <w:p>
            <w:r>
              <w:t>35%</w:t>
            </w:r>
          </w:p>
        </w:tc>
        <w:tc>
          <w:tcPr>
            <w:tcW w:type="dxa" w:w="2160"/>
          </w:tcPr>
          <w:p>
            <w:r>
              <w:t>35%</w:t>
            </w:r>
          </w:p>
        </w:tc>
        <w:tc>
          <w:tcPr>
            <w:tcW w:type="dxa" w:w="2160"/>
          </w:tcPr>
          <w:p>
            <w:r>
              <w:t>35%</w:t>
            </w:r>
          </w:p>
        </w:tc>
      </w:tr>
      <w:tr>
        <w:tc>
          <w:tcPr>
            <w:tcW w:type="dxa" w:w="2160"/>
          </w:tcPr>
          <w:p>
            <w:r>
              <w:t>2030</w:t>
            </w:r>
          </w:p>
        </w:tc>
        <w:tc>
          <w:tcPr>
            <w:tcW w:type="dxa" w:w="2160"/>
          </w:tcPr>
          <w:p>
            <w:r>
              <w:t>52%</w:t>
            </w:r>
          </w:p>
        </w:tc>
        <w:tc>
          <w:tcPr>
            <w:tcW w:type="dxa" w:w="2160"/>
          </w:tcPr>
          <w:p>
            <w:r>
              <w:t>68%</w:t>
            </w:r>
          </w:p>
        </w:tc>
        <w:tc>
          <w:tcPr>
            <w:tcW w:type="dxa" w:w="2160"/>
          </w:tcPr>
          <w:p>
            <w:r>
              <w:t>75%</w:t>
            </w:r>
          </w:p>
        </w:tc>
      </w:tr>
      <w:tr>
        <w:tc>
          <w:tcPr>
            <w:tcW w:type="dxa" w:w="2160"/>
          </w:tcPr>
          <w:p>
            <w:r>
              <w:t>2035</w:t>
            </w:r>
          </w:p>
        </w:tc>
        <w:tc>
          <w:tcPr>
            <w:tcW w:type="dxa" w:w="2160"/>
          </w:tcPr>
          <w:p>
            <w:r>
              <w:t>58%</w:t>
            </w:r>
          </w:p>
        </w:tc>
        <w:tc>
          <w:tcPr>
            <w:tcW w:type="dxa" w:w="2160"/>
          </w:tcPr>
          <w:p>
            <w:r>
              <w:t>78%</w:t>
            </w:r>
          </w:p>
        </w:tc>
        <w:tc>
          <w:tcPr>
            <w:tcW w:type="dxa" w:w="2160"/>
          </w:tcPr>
          <w:p>
            <w:r>
              <w:t>85%</w:t>
            </w:r>
          </w:p>
        </w:tc>
      </w:tr>
      <w:tr>
        <w:tc>
          <w:tcPr>
            <w:tcW w:type="dxa" w:w="2160"/>
          </w:tcPr>
          <w:p>
            <w:r>
              <w:t>2040</w:t>
            </w:r>
          </w:p>
        </w:tc>
        <w:tc>
          <w:tcPr>
            <w:tcW w:type="dxa" w:w="2160"/>
          </w:tcPr>
          <w:p>
            <w:r>
              <w:t>63%</w:t>
            </w:r>
          </w:p>
        </w:tc>
        <w:tc>
          <w:tcPr>
            <w:tcW w:type="dxa" w:w="2160"/>
          </w:tcPr>
          <w:p>
            <w:r>
              <w:t>85%</w:t>
            </w:r>
          </w:p>
        </w:tc>
        <w:tc>
          <w:tcPr>
            <w:tcW w:type="dxa" w:w="2160"/>
          </w:tcPr>
          <w:p>
            <w:r>
              <w:t>92%</w:t>
            </w:r>
          </w:p>
        </w:tc>
      </w:tr>
    </w:tbl>
    <w:p/>
    <w:p>
      <w:r>
        <w:t>ETS2 approaches near-complete decarbonization of electricity by 2040 (92% renewables), with residual fossil generation for flexibility and backup. Investment in renewables averages €15-20 billion annually under ETS2, compared to €8-10 billion in BAU.</w:t>
      </w:r>
    </w:p>
    <w:p>
      <w:pPr>
        <w:pStyle w:val="Heading1"/>
      </w:pPr>
      <w:r>
        <w:t>8.2. Macroeconomic Impacts</w:t>
      </w:r>
    </w:p>
    <w:p>
      <w:pPr>
        <w:pStyle w:val="Heading2"/>
      </w:pPr>
      <w:r>
        <w:t>8.2.1. GDP Effects</w:t>
      </w:r>
    </w:p>
    <w:p>
      <w:r>
        <w:t>GDP impacts relative to BAU are modest but not negligible, reflecting economy-wide adjustment costs: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BAU (€ billions)</w:t>
            </w:r>
          </w:p>
        </w:tc>
        <w:tc>
          <w:tcPr>
            <w:tcW w:type="dxa" w:w="2160"/>
          </w:tcPr>
          <w:p>
            <w:r>
              <w:rPr>
                <w:b/>
              </w:rPr>
              <w:t>ETS1 (% vs BAU)</w:t>
            </w:r>
          </w:p>
        </w:tc>
        <w:tc>
          <w:tcPr>
            <w:tcW w:type="dxa" w:w="2160"/>
          </w:tcPr>
          <w:p>
            <w:r>
              <w:rPr>
                <w:b/>
              </w:rPr>
              <w:t>ETS2 (% vs BAU)</w:t>
            </w:r>
          </w:p>
        </w:tc>
      </w:tr>
      <w:tr>
        <w:tc>
          <w:tcPr>
            <w:tcW w:type="dxa" w:w="2160"/>
          </w:tcPr>
          <w:p>
            <w:r>
              <w:t>2021</w:t>
            </w:r>
          </w:p>
        </w:tc>
        <w:tc>
          <w:tcPr>
            <w:tcW w:type="dxa" w:w="2160"/>
          </w:tcPr>
          <w:p>
            <w:r>
              <w:t>1,782</w:t>
            </w:r>
          </w:p>
        </w:tc>
        <w:tc>
          <w:tcPr>
            <w:tcW w:type="dxa" w:w="2160"/>
          </w:tcPr>
          <w:p>
            <w:r>
              <w:t>0.0%</w:t>
            </w:r>
          </w:p>
        </w:tc>
        <w:tc>
          <w:tcPr>
            <w:tcW w:type="dxa" w:w="2160"/>
          </w:tcPr>
          <w:p>
            <w:r>
              <w:t>0.0%</w:t>
            </w:r>
          </w:p>
        </w:tc>
      </w:tr>
      <w:tr>
        <w:tc>
          <w:tcPr>
            <w:tcW w:type="dxa" w:w="2160"/>
          </w:tcPr>
          <w:p>
            <w:r>
              <w:t>2030</w:t>
            </w:r>
          </w:p>
        </w:tc>
        <w:tc>
          <w:tcPr>
            <w:tcW w:type="dxa" w:w="2160"/>
          </w:tcPr>
          <w:p>
            <w:r>
              <w:t>1,965</w:t>
            </w:r>
          </w:p>
        </w:tc>
        <w:tc>
          <w:tcPr>
            <w:tcW w:type="dxa" w:w="2160"/>
          </w:tcPr>
          <w:p>
            <w:r>
              <w:t>-0.8%</w:t>
            </w:r>
          </w:p>
        </w:tc>
        <w:tc>
          <w:tcPr>
            <w:tcW w:type="dxa" w:w="2160"/>
          </w:tcPr>
          <w:p>
            <w:r>
              <w:t>-1.3%</w:t>
            </w:r>
          </w:p>
        </w:tc>
      </w:tr>
      <w:tr>
        <w:tc>
          <w:tcPr>
            <w:tcW w:type="dxa" w:w="2160"/>
          </w:tcPr>
          <w:p>
            <w:r>
              <w:t>2035</w:t>
            </w:r>
          </w:p>
        </w:tc>
        <w:tc>
          <w:tcPr>
            <w:tcW w:type="dxa" w:w="2160"/>
          </w:tcPr>
          <w:p>
            <w:r>
              <w:t>2,067</w:t>
            </w:r>
          </w:p>
        </w:tc>
        <w:tc>
          <w:tcPr>
            <w:tcW w:type="dxa" w:w="2160"/>
          </w:tcPr>
          <w:p>
            <w:r>
              <w:t>-1.2%</w:t>
            </w:r>
          </w:p>
        </w:tc>
        <w:tc>
          <w:tcPr>
            <w:tcW w:type="dxa" w:w="2160"/>
          </w:tcPr>
          <w:p>
            <w:r>
              <w:t>-1.8%</w:t>
            </w:r>
          </w:p>
        </w:tc>
      </w:tr>
      <w:tr>
        <w:tc>
          <w:tcPr>
            <w:tcW w:type="dxa" w:w="2160"/>
          </w:tcPr>
          <w:p>
            <w:r>
              <w:t>2040</w:t>
            </w:r>
          </w:p>
        </w:tc>
        <w:tc>
          <w:tcPr>
            <w:tcW w:type="dxa" w:w="2160"/>
          </w:tcPr>
          <w:p>
            <w:r>
              <w:t>2,175</w:t>
            </w:r>
          </w:p>
        </w:tc>
        <w:tc>
          <w:tcPr>
            <w:tcW w:type="dxa" w:w="2160"/>
          </w:tcPr>
          <w:p>
            <w:r>
              <w:t>-1.5%</w:t>
            </w:r>
          </w:p>
        </w:tc>
        <w:tc>
          <w:tcPr>
            <w:tcW w:type="dxa" w:w="2160"/>
          </w:tcPr>
          <w:p>
            <w:r>
              <w:t>-2.2%</w:t>
            </w:r>
          </w:p>
        </w:tc>
      </w:tr>
    </w:tbl>
    <w:p/>
    <w:p>
      <w:r>
        <w:rPr>
          <w:b/>
        </w:rPr>
        <w:t>Interpretation:</w:t>
      </w:r>
    </w:p>
    <w:p>
      <w:pPr>
        <w:pStyle w:val="ListBullet"/>
      </w:pPr>
      <w:r>
        <w:t>GDP costs are moderate: 1.5% for ETS1 and 2.2% for ETS2 by 2040. These represent annual GDP levels, not growth rates—Italy still grows, just slightly slower than BAU.</w:t>
      </w:r>
    </w:p>
    <w:p>
      <w:pPr>
        <w:pStyle w:val="ListBullet"/>
      </w:pPr>
      <w:r>
        <w:t>Costs reflect resource reallocation from fossil-intensive to clean sectors, with transition friction and capital adjustment costs.</w:t>
      </w:r>
    </w:p>
    <w:p>
      <w:pPr>
        <w:pStyle w:val="ListBullet"/>
      </w:pPr>
      <w:r>
        <w:t>Revenue recycling through household rebates and investment subsidies partially offsets GDP impacts by maintaining demand and supporting productive investment.</w:t>
      </w:r>
    </w:p>
    <w:p>
      <w:pPr>
        <w:pStyle w:val="ListBullet"/>
      </w:pPr>
      <w:r>
        <w:t>Long-run costs likely overstated: Model does not capture induced innovation, health co-benefits from air quality improvements, or avoided climate damages.</w:t>
      </w:r>
    </w:p>
    <w:p>
      <w:pPr>
        <w:pStyle w:val="Heading2"/>
      </w:pPr>
      <w:r>
        <w:t>8.2.2. Investment Dynamics</w:t>
      </w:r>
    </w:p>
    <w:p>
      <w:r>
        <w:t>Total investment increases under policy scenarios due to accelerated renewable energy deployment: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Scenario</w:t>
            </w:r>
          </w:p>
        </w:tc>
        <w:tc>
          <w:tcPr>
            <w:tcW w:type="dxa" w:w="2160"/>
          </w:tcPr>
          <w:p>
            <w:r>
              <w:rPr>
                <w:b/>
              </w:rPr>
              <w:t>Total Investment 2021-2040 (€B)</w:t>
            </w:r>
          </w:p>
        </w:tc>
        <w:tc>
          <w:tcPr>
            <w:tcW w:type="dxa" w:w="2160"/>
          </w:tcPr>
          <w:p>
            <w:r>
              <w:rPr>
                <w:b/>
              </w:rPr>
              <w:t>Renewable Investment (€B)</w:t>
            </w:r>
          </w:p>
        </w:tc>
        <w:tc>
          <w:tcPr>
            <w:tcW w:type="dxa" w:w="2160"/>
          </w:tcPr>
          <w:p>
            <w:r>
              <w:rPr>
                <w:b/>
              </w:rPr>
              <w:t>Share (%)</w:t>
            </w:r>
          </w:p>
        </w:tc>
      </w:tr>
      <w:tr>
        <w:tc>
          <w:tcPr>
            <w:tcW w:type="dxa" w:w="2160"/>
          </w:tcPr>
          <w:p>
            <w:r>
              <w:t>BAU</w:t>
            </w:r>
          </w:p>
        </w:tc>
        <w:tc>
          <w:tcPr>
            <w:tcW w:type="dxa" w:w="2160"/>
          </w:tcPr>
          <w:p>
            <w:r>
              <w:t>5,850</w:t>
            </w:r>
          </w:p>
        </w:tc>
        <w:tc>
          <w:tcPr>
            <w:tcW w:type="dxa" w:w="2160"/>
          </w:tcPr>
          <w:p>
            <w:r>
              <w:t>180</w:t>
            </w:r>
          </w:p>
        </w:tc>
        <w:tc>
          <w:tcPr>
            <w:tcW w:type="dxa" w:w="2160"/>
          </w:tcPr>
          <w:p>
            <w:r>
              <w:t>3.1%</w:t>
            </w:r>
          </w:p>
        </w:tc>
      </w:tr>
      <w:tr>
        <w:tc>
          <w:tcPr>
            <w:tcW w:type="dxa" w:w="2160"/>
          </w:tcPr>
          <w:p>
            <w:r>
              <w:t>ETS1</w:t>
            </w:r>
          </w:p>
        </w:tc>
        <w:tc>
          <w:tcPr>
            <w:tcW w:type="dxa" w:w="2160"/>
          </w:tcPr>
          <w:p>
            <w:r>
              <w:t>6,120</w:t>
            </w:r>
          </w:p>
        </w:tc>
        <w:tc>
          <w:tcPr>
            <w:tcW w:type="dxa" w:w="2160"/>
          </w:tcPr>
          <w:p>
            <w:r>
              <w:t>385</w:t>
            </w:r>
          </w:p>
        </w:tc>
        <w:tc>
          <w:tcPr>
            <w:tcW w:type="dxa" w:w="2160"/>
          </w:tcPr>
          <w:p>
            <w:r>
              <w:t>6.3%</w:t>
            </w:r>
          </w:p>
        </w:tc>
      </w:tr>
      <w:tr>
        <w:tc>
          <w:tcPr>
            <w:tcW w:type="dxa" w:w="2160"/>
          </w:tcPr>
          <w:p>
            <w:r>
              <w:t>ETS2</w:t>
            </w:r>
          </w:p>
        </w:tc>
        <w:tc>
          <w:tcPr>
            <w:tcW w:type="dxa" w:w="2160"/>
          </w:tcPr>
          <w:p>
            <w:r>
              <w:t>6,290</w:t>
            </w:r>
          </w:p>
        </w:tc>
        <w:tc>
          <w:tcPr>
            <w:tcW w:type="dxa" w:w="2160"/>
          </w:tcPr>
          <w:p>
            <w:r>
              <w:t>465</w:t>
            </w:r>
          </w:p>
        </w:tc>
        <w:tc>
          <w:tcPr>
            <w:tcW w:type="dxa" w:w="2160"/>
          </w:tcPr>
          <w:p>
            <w:r>
              <w:t>7.4%</w:t>
            </w:r>
          </w:p>
        </w:tc>
      </w:tr>
    </w:tbl>
    <w:p/>
    <w:p>
      <w:r>
        <w:t>ETS2 mobilizes €465 billion in renewable energy investment over 2021-2040, 2.6 times BAU levels. This represents a fundamental restructuring of capital allocation toward clean energy infrastructure.</w:t>
      </w:r>
    </w:p>
    <w:p>
      <w:pPr>
        <w:pStyle w:val="Heading2"/>
      </w:pPr>
      <w:r>
        <w:t>8.2.3. Employment Effects</w:t>
      </w:r>
    </w:p>
    <w:p>
      <w:r>
        <w:t>Net employment impacts are slightly positive, with job creation in renewables offsetting losses in fossil sectors: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Sector</w:t>
            </w:r>
          </w:p>
        </w:tc>
        <w:tc>
          <w:tcPr>
            <w:tcW w:type="dxa" w:w="2880"/>
          </w:tcPr>
          <w:p>
            <w:r>
              <w:rPr>
                <w:b/>
              </w:rPr>
              <w:t>ETS1 Change (2040)</w:t>
            </w:r>
          </w:p>
        </w:tc>
        <w:tc>
          <w:tcPr>
            <w:tcW w:type="dxa" w:w="2880"/>
          </w:tcPr>
          <w:p>
            <w:r>
              <w:rPr>
                <w:b/>
              </w:rPr>
              <w:t>ETS2 Change (2040)</w:t>
            </w:r>
          </w:p>
        </w:tc>
      </w:tr>
      <w:tr>
        <w:tc>
          <w:tcPr>
            <w:tcW w:type="dxa" w:w="2880"/>
          </w:tcPr>
          <w:p>
            <w:r>
              <w:t>Renewable Energy</w:t>
            </w:r>
          </w:p>
        </w:tc>
        <w:tc>
          <w:tcPr>
            <w:tcW w:type="dxa" w:w="2880"/>
          </w:tcPr>
          <w:p>
            <w:r>
              <w:t>+85,000</w:t>
            </w:r>
          </w:p>
        </w:tc>
        <w:tc>
          <w:tcPr>
            <w:tcW w:type="dxa" w:w="2880"/>
          </w:tcPr>
          <w:p>
            <w:r>
              <w:t>+120,000</w:t>
            </w:r>
          </w:p>
        </w:tc>
      </w:tr>
      <w:tr>
        <w:tc>
          <w:tcPr>
            <w:tcW w:type="dxa" w:w="2880"/>
          </w:tcPr>
          <w:p>
            <w:r>
              <w:t>Fossil Energy (Gas, Coal, Oil)</w:t>
            </w:r>
          </w:p>
        </w:tc>
        <w:tc>
          <w:tcPr>
            <w:tcW w:type="dxa" w:w="2880"/>
          </w:tcPr>
          <w:p>
            <w:r>
              <w:t>-35,000</w:t>
            </w:r>
          </w:p>
        </w:tc>
        <w:tc>
          <w:tcPr>
            <w:tcW w:type="dxa" w:w="2880"/>
          </w:tcPr>
          <w:p>
            <w:r>
              <w:t>-55,000</w:t>
            </w:r>
          </w:p>
        </w:tc>
      </w:tr>
      <w:tr>
        <w:tc>
          <w:tcPr>
            <w:tcW w:type="dxa" w:w="2880"/>
          </w:tcPr>
          <w:p>
            <w:r>
              <w:t>Manufacturing</w:t>
            </w:r>
          </w:p>
        </w:tc>
        <w:tc>
          <w:tcPr>
            <w:tcW w:type="dxa" w:w="2880"/>
          </w:tcPr>
          <w:p>
            <w:r>
              <w:t>-18,000</w:t>
            </w:r>
          </w:p>
        </w:tc>
        <w:tc>
          <w:tcPr>
            <w:tcW w:type="dxa" w:w="2880"/>
          </w:tcPr>
          <w:p>
            <w:r>
              <w:t>-28,000</w:t>
            </w:r>
          </w:p>
        </w:tc>
      </w:tr>
      <w:tr>
        <w:tc>
          <w:tcPr>
            <w:tcW w:type="dxa" w:w="2880"/>
          </w:tcPr>
          <w:p>
            <w:r>
              <w:t>Services</w:t>
            </w:r>
          </w:p>
        </w:tc>
        <w:tc>
          <w:tcPr>
            <w:tcW w:type="dxa" w:w="2880"/>
          </w:tcPr>
          <w:p>
            <w:r>
              <w:t>+12,000</w:t>
            </w:r>
          </w:p>
        </w:tc>
        <w:tc>
          <w:tcPr>
            <w:tcW w:type="dxa" w:w="2880"/>
          </w:tcPr>
          <w:p>
            <w:r>
              <w:t>+8,000</w:t>
            </w:r>
          </w:p>
        </w:tc>
      </w:tr>
    </w:tbl>
    <w:p/>
    <w:p>
      <w:r>
        <w:t>Net employment impact: +44,000 jobs in ETS1 and +45,000 in ETS2 by 2040 relative to BAU. Job creation concentrated in construction (renewable installations), maintenance, and advanced manufacturing (solar panels, wind turbines). Job losses in fossil sectors partially offset by retraining and regional transition support.</w:t>
      </w:r>
    </w:p>
    <w:p>
      <w:pPr>
        <w:pStyle w:val="Heading1"/>
      </w:pPr>
      <w:r>
        <w:t>8.3. Distributional and Regional Effects</w:t>
      </w:r>
    </w:p>
    <w:p>
      <w:pPr>
        <w:pStyle w:val="Heading2"/>
      </w:pPr>
      <w:r>
        <w:t>8.3.1. Regional GDP Impacts</w:t>
      </w:r>
    </w:p>
    <w:p>
      <w:r>
        <w:t>Carbon pricing combined with targeted regional support narrows regional disparities: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Region</w:t>
            </w:r>
          </w:p>
        </w:tc>
        <w:tc>
          <w:tcPr>
            <w:tcW w:type="dxa" w:w="2160"/>
          </w:tcPr>
          <w:p>
            <w:r>
              <w:rPr>
                <w:b/>
              </w:rPr>
              <w:t>BAU GDP/capita 2040 (€)</w:t>
            </w:r>
          </w:p>
        </w:tc>
        <w:tc>
          <w:tcPr>
            <w:tcW w:type="dxa" w:w="2160"/>
          </w:tcPr>
          <w:p>
            <w:r>
              <w:rPr>
                <w:b/>
              </w:rPr>
              <w:t>ETS1 Change (%)</w:t>
            </w:r>
          </w:p>
        </w:tc>
        <w:tc>
          <w:tcPr>
            <w:tcW w:type="dxa" w:w="2160"/>
          </w:tcPr>
          <w:p>
            <w:r>
              <w:rPr>
                <w:b/>
              </w:rPr>
              <w:t>ETS2 Change (%)</w:t>
            </w:r>
          </w:p>
        </w:tc>
      </w:tr>
      <w:tr>
        <w:tc>
          <w:tcPr>
            <w:tcW w:type="dxa" w:w="2160"/>
          </w:tcPr>
          <w:p>
            <w:r>
              <w:t>Northwest</w:t>
            </w:r>
          </w:p>
        </w:tc>
        <w:tc>
          <w:tcPr>
            <w:tcW w:type="dxa" w:w="2160"/>
          </w:tcPr>
          <w:p>
            <w:r>
              <w:t>42,500</w:t>
            </w:r>
          </w:p>
        </w:tc>
        <w:tc>
          <w:tcPr>
            <w:tcW w:type="dxa" w:w="2160"/>
          </w:tcPr>
          <w:p>
            <w:r>
              <w:t>-1.8%</w:t>
            </w:r>
          </w:p>
        </w:tc>
        <w:tc>
          <w:tcPr>
            <w:tcW w:type="dxa" w:w="2160"/>
          </w:tcPr>
          <w:p>
            <w:r>
              <w:t>-2.5%</w:t>
            </w:r>
          </w:p>
        </w:tc>
      </w:tr>
      <w:tr>
        <w:tc>
          <w:tcPr>
            <w:tcW w:type="dxa" w:w="2160"/>
          </w:tcPr>
          <w:p>
            <w:r>
              <w:t>Northeast</w:t>
            </w:r>
          </w:p>
        </w:tc>
        <w:tc>
          <w:tcPr>
            <w:tcW w:type="dxa" w:w="2160"/>
          </w:tcPr>
          <w:p>
            <w:r>
              <w:t>40,200</w:t>
            </w:r>
          </w:p>
        </w:tc>
        <w:tc>
          <w:tcPr>
            <w:tcW w:type="dxa" w:w="2160"/>
          </w:tcPr>
          <w:p>
            <w:r>
              <w:t>-1.6%</w:t>
            </w:r>
          </w:p>
        </w:tc>
        <w:tc>
          <w:tcPr>
            <w:tcW w:type="dxa" w:w="2160"/>
          </w:tcPr>
          <w:p>
            <w:r>
              <w:t>-2.3%</w:t>
            </w:r>
          </w:p>
        </w:tc>
      </w:tr>
      <w:tr>
        <w:tc>
          <w:tcPr>
            <w:tcW w:type="dxa" w:w="2160"/>
          </w:tcPr>
          <w:p>
            <w:r>
              <w:t>Centre</w:t>
            </w:r>
          </w:p>
        </w:tc>
        <w:tc>
          <w:tcPr>
            <w:tcW w:type="dxa" w:w="2160"/>
          </w:tcPr>
          <w:p>
            <w:r>
              <w:t>38,800</w:t>
            </w:r>
          </w:p>
        </w:tc>
        <w:tc>
          <w:tcPr>
            <w:tcW w:type="dxa" w:w="2160"/>
          </w:tcPr>
          <w:p>
            <w:r>
              <w:t>-1.4%</w:t>
            </w:r>
          </w:p>
        </w:tc>
        <w:tc>
          <w:tcPr>
            <w:tcW w:type="dxa" w:w="2160"/>
          </w:tcPr>
          <w:p>
            <w:r>
              <w:t>-2.0%</w:t>
            </w:r>
          </w:p>
        </w:tc>
      </w:tr>
      <w:tr>
        <w:tc>
          <w:tcPr>
            <w:tcW w:type="dxa" w:w="2160"/>
          </w:tcPr>
          <w:p>
            <w:r>
              <w:t>South</w:t>
            </w:r>
          </w:p>
        </w:tc>
        <w:tc>
          <w:tcPr>
            <w:tcW w:type="dxa" w:w="2160"/>
          </w:tcPr>
          <w:p>
            <w:r>
              <w:t>22,100</w:t>
            </w:r>
          </w:p>
        </w:tc>
        <w:tc>
          <w:tcPr>
            <w:tcW w:type="dxa" w:w="2160"/>
          </w:tcPr>
          <w:p>
            <w:r>
              <w:t>-0.9%</w:t>
            </w:r>
          </w:p>
        </w:tc>
        <w:tc>
          <w:tcPr>
            <w:tcW w:type="dxa" w:w="2160"/>
          </w:tcPr>
          <w:p>
            <w:r>
              <w:t>-1.2%</w:t>
            </w:r>
          </w:p>
        </w:tc>
      </w:tr>
      <w:tr>
        <w:tc>
          <w:tcPr>
            <w:tcW w:type="dxa" w:w="2160"/>
          </w:tcPr>
          <w:p>
            <w:r>
              <w:t>Islands</w:t>
            </w:r>
          </w:p>
        </w:tc>
        <w:tc>
          <w:tcPr>
            <w:tcW w:type="dxa" w:w="2160"/>
          </w:tcPr>
          <w:p>
            <w:r>
              <w:t>20,500</w:t>
            </w:r>
          </w:p>
        </w:tc>
        <w:tc>
          <w:tcPr>
            <w:tcW w:type="dxa" w:w="2160"/>
          </w:tcPr>
          <w:p>
            <w:r>
              <w:t>-0.8%</w:t>
            </w:r>
          </w:p>
        </w:tc>
        <w:tc>
          <w:tcPr>
            <w:tcW w:type="dxa" w:w="2160"/>
          </w:tcPr>
          <w:p>
            <w:r>
              <w:t>-1.0%</w:t>
            </w:r>
          </w:p>
        </w:tc>
      </w:tr>
    </w:tbl>
    <w:p/>
    <w:p>
      <w:r>
        <w:rPr>
          <w:b/>
        </w:rPr>
        <w:t>Key Finding:</w:t>
      </w:r>
      <w:r>
        <w:t xml:space="preserve"> Southern regions experience smaller GDP losses (0.8-1.2%) than Northern regions (1.8-2.5%) under ETS2. This reflects the 80% renewable investment subsidy, which stimulates local construction activity, creates jobs, and reduces energy import costs. Regional GDP convergence accelerates modestly under policy scenarios.</w:t>
      </w:r>
    </w:p>
    <w:p>
      <w:pPr>
        <w:pStyle w:val="Heading2"/>
      </w:pPr>
      <w:r>
        <w:t>8.3.2. Household Welfare Effects</w:t>
      </w:r>
    </w:p>
    <w:p>
      <w:r>
        <w:t>Household welfare (measured by Hicksian Equivalent Variation) varies by income group and region:</w:t>
      </w:r>
    </w:p>
    <w:p>
      <w:pPr>
        <w:pStyle w:val="ListBullet"/>
      </w:pPr>
      <w:r>
        <w:t>Per capita carbon rebates offset most consumption losses for middle-income households, resulting in near-neutral welfare impacts.</w:t>
      </w:r>
    </w:p>
    <w:p>
      <w:pPr>
        <w:pStyle w:val="ListBullet"/>
      </w:pPr>
      <w:r>
        <w:t>Low-income households (bottom quintile) experience slight welfare gains (+0.5% to +1.2%) due to progressive impact of lump-sum rebates relative to energy expenditure.</w:t>
      </w:r>
    </w:p>
    <w:p>
      <w:pPr>
        <w:pStyle w:val="ListBullet"/>
      </w:pPr>
      <w:r>
        <w:t>High-income households (top quintile) bear most of the adjustment costs (-2.0% to -3.5%) due to higher consumption of energy-intensive goods and services.</w:t>
      </w:r>
    </w:p>
    <w:p>
      <w:pPr>
        <w:pStyle w:val="ListBullet"/>
      </w:pPr>
      <w:r>
        <w:t>Regional variation: Southern households benefit more from local employment creation in renewables, partially offsetting higher energy costs in early transition years.</w:t>
      </w:r>
    </w:p>
    <w:p>
      <w:pPr>
        <w:pStyle w:val="Heading2"/>
      </w:pPr>
      <w:r>
        <w:t>8.3.3. Regional Renewable Capacity</w:t>
      </w:r>
    </w:p>
    <w:p>
      <w:r>
        <w:t>Renewable energy capacity becomes more evenly distributed across regions under policy scenarios: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Region</w:t>
            </w:r>
          </w:p>
        </w:tc>
        <w:tc>
          <w:tcPr>
            <w:tcW w:type="dxa" w:w="2160"/>
          </w:tcPr>
          <w:p>
            <w:r>
              <w:rPr>
                <w:b/>
              </w:rPr>
              <w:t>BAU 2040 (GW)</w:t>
            </w:r>
          </w:p>
        </w:tc>
        <w:tc>
          <w:tcPr>
            <w:tcW w:type="dxa" w:w="2160"/>
          </w:tcPr>
          <w:p>
            <w:r>
              <w:rPr>
                <w:b/>
              </w:rPr>
              <w:t>ETS1 2040 (GW)</w:t>
            </w:r>
          </w:p>
        </w:tc>
        <w:tc>
          <w:tcPr>
            <w:tcW w:type="dxa" w:w="2160"/>
          </w:tcPr>
          <w:p>
            <w:r>
              <w:rPr>
                <w:b/>
              </w:rPr>
              <w:t>ETS2 2040 (GW)</w:t>
            </w:r>
          </w:p>
        </w:tc>
      </w:tr>
      <w:tr>
        <w:tc>
          <w:tcPr>
            <w:tcW w:type="dxa" w:w="2160"/>
          </w:tcPr>
          <w:p>
            <w:r>
              <w:t>Northwest</w:t>
            </w:r>
          </w:p>
        </w:tc>
        <w:tc>
          <w:tcPr>
            <w:tcW w:type="dxa" w:w="2160"/>
          </w:tcPr>
          <w:p>
            <w:r>
              <w:t>18.5</w:t>
            </w:r>
          </w:p>
        </w:tc>
        <w:tc>
          <w:tcPr>
            <w:tcW w:type="dxa" w:w="2160"/>
          </w:tcPr>
          <w:p>
            <w:r>
              <w:t>32.5</w:t>
            </w:r>
          </w:p>
        </w:tc>
        <w:tc>
          <w:tcPr>
            <w:tcW w:type="dxa" w:w="2160"/>
          </w:tcPr>
          <w:p>
            <w:r>
              <w:t>38.2</w:t>
            </w:r>
          </w:p>
        </w:tc>
      </w:tr>
      <w:tr>
        <w:tc>
          <w:tcPr>
            <w:tcW w:type="dxa" w:w="2160"/>
          </w:tcPr>
          <w:p>
            <w:r>
              <w:t>Northeast</w:t>
            </w:r>
          </w:p>
        </w:tc>
        <w:tc>
          <w:tcPr>
            <w:tcW w:type="dxa" w:w="2160"/>
          </w:tcPr>
          <w:p>
            <w:r>
              <w:t>12.3</w:t>
            </w:r>
          </w:p>
        </w:tc>
        <w:tc>
          <w:tcPr>
            <w:tcW w:type="dxa" w:w="2160"/>
          </w:tcPr>
          <w:p>
            <w:r>
              <w:t>22.8</w:t>
            </w:r>
          </w:p>
        </w:tc>
        <w:tc>
          <w:tcPr>
            <w:tcW w:type="dxa" w:w="2160"/>
          </w:tcPr>
          <w:p>
            <w:r>
              <w:t>27.5</w:t>
            </w:r>
          </w:p>
        </w:tc>
      </w:tr>
      <w:tr>
        <w:tc>
          <w:tcPr>
            <w:tcW w:type="dxa" w:w="2160"/>
          </w:tcPr>
          <w:p>
            <w:r>
              <w:t>Centre</w:t>
            </w:r>
          </w:p>
        </w:tc>
        <w:tc>
          <w:tcPr>
            <w:tcW w:type="dxa" w:w="2160"/>
          </w:tcPr>
          <w:p>
            <w:r>
              <w:t>14.2</w:t>
            </w:r>
          </w:p>
        </w:tc>
        <w:tc>
          <w:tcPr>
            <w:tcW w:type="dxa" w:w="2160"/>
          </w:tcPr>
          <w:p>
            <w:r>
              <w:t>26.4</w:t>
            </w:r>
          </w:p>
        </w:tc>
        <w:tc>
          <w:tcPr>
            <w:tcW w:type="dxa" w:w="2160"/>
          </w:tcPr>
          <w:p>
            <w:r>
              <w:t>31.8</w:t>
            </w:r>
          </w:p>
        </w:tc>
      </w:tr>
      <w:tr>
        <w:tc>
          <w:tcPr>
            <w:tcW w:type="dxa" w:w="2160"/>
          </w:tcPr>
          <w:p>
            <w:r>
              <w:t>South</w:t>
            </w:r>
          </w:p>
        </w:tc>
        <w:tc>
          <w:tcPr>
            <w:tcW w:type="dxa" w:w="2160"/>
          </w:tcPr>
          <w:p>
            <w:r>
              <w:t>16.8</w:t>
            </w:r>
          </w:p>
        </w:tc>
        <w:tc>
          <w:tcPr>
            <w:tcW w:type="dxa" w:w="2160"/>
          </w:tcPr>
          <w:p>
            <w:r>
              <w:t>35.2</w:t>
            </w:r>
          </w:p>
        </w:tc>
        <w:tc>
          <w:tcPr>
            <w:tcW w:type="dxa" w:w="2160"/>
          </w:tcPr>
          <w:p>
            <w:r>
              <w:t>43.5</w:t>
            </w:r>
          </w:p>
        </w:tc>
      </w:tr>
      <w:tr>
        <w:tc>
          <w:tcPr>
            <w:tcW w:type="dxa" w:w="2160"/>
          </w:tcPr>
          <w:p>
            <w:r>
              <w:t>Islands</w:t>
            </w:r>
          </w:p>
        </w:tc>
        <w:tc>
          <w:tcPr>
            <w:tcW w:type="dxa" w:w="2160"/>
          </w:tcPr>
          <w:p>
            <w:r>
              <w:t>8.4</w:t>
            </w:r>
          </w:p>
        </w:tc>
        <w:tc>
          <w:tcPr>
            <w:tcW w:type="dxa" w:w="2160"/>
          </w:tcPr>
          <w:p>
            <w:r>
              <w:t>18.7</w:t>
            </w:r>
          </w:p>
        </w:tc>
        <w:tc>
          <w:tcPr>
            <w:tcW w:type="dxa" w:w="2160"/>
          </w:tcPr>
          <w:p>
            <w:r>
              <w:t>23.6</w:t>
            </w:r>
          </w:p>
        </w:tc>
      </w:tr>
    </w:tbl>
    <w:p/>
    <w:p>
      <w:r>
        <w:t>Southern regions' share of national renewable capacity increases from 36% (BAU 2040) to 41% (ETS2 2040), reflecting policy success in leveraging high solar radiation and wind resources in previously underinvested areas.</w:t>
      </w:r>
    </w:p>
    <w:p>
      <w:pPr>
        <w:pStyle w:val="Heading1"/>
      </w:pPr>
      <w:r>
        <w:t>8.4. Sectoral Structural Changes</w:t>
      </w:r>
    </w:p>
    <w:p>
      <w:pPr>
        <w:pStyle w:val="Heading2"/>
      </w:pPr>
      <w:r>
        <w:t>8.4.1. Output Changes by Sector (2040, % vs BAU)</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Sector</w:t>
            </w:r>
          </w:p>
        </w:tc>
        <w:tc>
          <w:tcPr>
            <w:tcW w:type="dxa" w:w="2880"/>
          </w:tcPr>
          <w:p>
            <w:r>
              <w:rPr>
                <w:b/>
              </w:rPr>
              <w:t>ETS1 Change (%)</w:t>
            </w:r>
          </w:p>
        </w:tc>
        <w:tc>
          <w:tcPr>
            <w:tcW w:type="dxa" w:w="2880"/>
          </w:tcPr>
          <w:p>
            <w:r>
              <w:rPr>
                <w:b/>
              </w:rPr>
              <w:t>ETS2 Change (%)</w:t>
            </w:r>
          </w:p>
        </w:tc>
      </w:tr>
      <w:tr>
        <w:tc>
          <w:tcPr>
            <w:tcW w:type="dxa" w:w="2880"/>
          </w:tcPr>
          <w:p>
            <w:r>
              <w:t>Agriculture (AGR)</w:t>
            </w:r>
          </w:p>
        </w:tc>
        <w:tc>
          <w:tcPr>
            <w:tcW w:type="dxa" w:w="2880"/>
          </w:tcPr>
          <w:p>
            <w:r>
              <w:t>-0.5%</w:t>
            </w:r>
          </w:p>
        </w:tc>
        <w:tc>
          <w:tcPr>
            <w:tcW w:type="dxa" w:w="2880"/>
          </w:tcPr>
          <w:p>
            <w:r>
              <w:t>-0.8%</w:t>
            </w:r>
          </w:p>
        </w:tc>
      </w:tr>
      <w:tr>
        <w:tc>
          <w:tcPr>
            <w:tcW w:type="dxa" w:w="2880"/>
          </w:tcPr>
          <w:p>
            <w:r>
              <w:t>Industry (IND)</w:t>
            </w:r>
          </w:p>
        </w:tc>
        <w:tc>
          <w:tcPr>
            <w:tcW w:type="dxa" w:w="2880"/>
          </w:tcPr>
          <w:p>
            <w:r>
              <w:t>-3.2%</w:t>
            </w:r>
          </w:p>
        </w:tc>
        <w:tc>
          <w:tcPr>
            <w:tcW w:type="dxa" w:w="2880"/>
          </w:tcPr>
          <w:p>
            <w:r>
              <w:t>-4.8%</w:t>
            </w:r>
          </w:p>
        </w:tc>
      </w:tr>
      <w:tr>
        <w:tc>
          <w:tcPr>
            <w:tcW w:type="dxa" w:w="2880"/>
          </w:tcPr>
          <w:p>
            <w:r>
              <w:t>Renewable Energy (RENEW)</w:t>
            </w:r>
          </w:p>
        </w:tc>
        <w:tc>
          <w:tcPr>
            <w:tcW w:type="dxa" w:w="2880"/>
          </w:tcPr>
          <w:p>
            <w:r>
              <w:t>+145%</w:t>
            </w:r>
          </w:p>
        </w:tc>
        <w:tc>
          <w:tcPr>
            <w:tcW w:type="dxa" w:w="2880"/>
          </w:tcPr>
          <w:p>
            <w:r>
              <w:t>+185%</w:t>
            </w:r>
          </w:p>
        </w:tc>
      </w:tr>
      <w:tr>
        <w:tc>
          <w:tcPr>
            <w:tcW w:type="dxa" w:w="2880"/>
          </w:tcPr>
          <w:p>
            <w:r>
              <w:t>Gas (GAS)</w:t>
            </w:r>
          </w:p>
        </w:tc>
        <w:tc>
          <w:tcPr>
            <w:tcW w:type="dxa" w:w="2880"/>
          </w:tcPr>
          <w:p>
            <w:r>
              <w:t>-42%</w:t>
            </w:r>
          </w:p>
        </w:tc>
        <w:tc>
          <w:tcPr>
            <w:tcW w:type="dxa" w:w="2880"/>
          </w:tcPr>
          <w:p>
            <w:r>
              <w:t>-58%</w:t>
            </w:r>
          </w:p>
        </w:tc>
      </w:tr>
      <w:tr>
        <w:tc>
          <w:tcPr>
            <w:tcW w:type="dxa" w:w="2880"/>
          </w:tcPr>
          <w:p>
            <w:r>
              <w:t>Other Energy (OENERGY)</w:t>
            </w:r>
          </w:p>
        </w:tc>
        <w:tc>
          <w:tcPr>
            <w:tcW w:type="dxa" w:w="2880"/>
          </w:tcPr>
          <w:p>
            <w:r>
              <w:t>-38%</w:t>
            </w:r>
          </w:p>
        </w:tc>
        <w:tc>
          <w:tcPr>
            <w:tcW w:type="dxa" w:w="2880"/>
          </w:tcPr>
          <w:p>
            <w:r>
              <w:t>-52%</w:t>
            </w:r>
          </w:p>
        </w:tc>
      </w:tr>
      <w:tr>
        <w:tc>
          <w:tcPr>
            <w:tcW w:type="dxa" w:w="2880"/>
          </w:tcPr>
          <w:p>
            <w:r>
              <w:t>Road Transport (ROAD)</w:t>
            </w:r>
          </w:p>
        </w:tc>
        <w:tc>
          <w:tcPr>
            <w:tcW w:type="dxa" w:w="2880"/>
          </w:tcPr>
          <w:p>
            <w:r>
              <w:t>-2.5%</w:t>
            </w:r>
          </w:p>
        </w:tc>
        <w:tc>
          <w:tcPr>
            <w:tcW w:type="dxa" w:w="2880"/>
          </w:tcPr>
          <w:p>
            <w:r>
              <w:t>-3.8%</w:t>
            </w:r>
          </w:p>
        </w:tc>
      </w:tr>
      <w:tr>
        <w:tc>
          <w:tcPr>
            <w:tcW w:type="dxa" w:w="2880"/>
          </w:tcPr>
          <w:p>
            <w:r>
              <w:t>Rail Transport (RAIL)</w:t>
            </w:r>
          </w:p>
        </w:tc>
        <w:tc>
          <w:tcPr>
            <w:tcW w:type="dxa" w:w="2880"/>
          </w:tcPr>
          <w:p>
            <w:r>
              <w:t>+5.2%</w:t>
            </w:r>
          </w:p>
        </w:tc>
        <w:tc>
          <w:tcPr>
            <w:tcW w:type="dxa" w:w="2880"/>
          </w:tcPr>
          <w:p>
            <w:r>
              <w:t>+8.5%</w:t>
            </w:r>
          </w:p>
        </w:tc>
      </w:tr>
      <w:tr>
        <w:tc>
          <w:tcPr>
            <w:tcW w:type="dxa" w:w="2880"/>
          </w:tcPr>
          <w:p>
            <w:r>
              <w:t>Air Transport (AIR)</w:t>
            </w:r>
          </w:p>
        </w:tc>
        <w:tc>
          <w:tcPr>
            <w:tcW w:type="dxa" w:w="2880"/>
          </w:tcPr>
          <w:p>
            <w:r>
              <w:t>-1.8%</w:t>
            </w:r>
          </w:p>
        </w:tc>
        <w:tc>
          <w:tcPr>
            <w:tcW w:type="dxa" w:w="2880"/>
          </w:tcPr>
          <w:p>
            <w:r>
              <w:t>-2.5%</w:t>
            </w:r>
          </w:p>
        </w:tc>
      </w:tr>
      <w:tr>
        <w:tc>
          <w:tcPr>
            <w:tcW w:type="dxa" w:w="2880"/>
          </w:tcPr>
          <w:p>
            <w:r>
              <w:t>Water Transport (WATER)</w:t>
            </w:r>
          </w:p>
        </w:tc>
        <w:tc>
          <w:tcPr>
            <w:tcW w:type="dxa" w:w="2880"/>
          </w:tcPr>
          <w:p>
            <w:r>
              <w:t>-1.2%</w:t>
            </w:r>
          </w:p>
        </w:tc>
        <w:tc>
          <w:tcPr>
            <w:tcW w:type="dxa" w:w="2880"/>
          </w:tcPr>
          <w:p>
            <w:r>
              <w:t>-1.8%</w:t>
            </w:r>
          </w:p>
        </w:tc>
      </w:tr>
      <w:tr>
        <w:tc>
          <w:tcPr>
            <w:tcW w:type="dxa" w:w="2880"/>
          </w:tcPr>
          <w:p>
            <w:r>
              <w:t>Other Transport (OTRANS)</w:t>
            </w:r>
          </w:p>
        </w:tc>
        <w:tc>
          <w:tcPr>
            <w:tcW w:type="dxa" w:w="2880"/>
          </w:tcPr>
          <w:p>
            <w:r>
              <w:t>+2.8%</w:t>
            </w:r>
          </w:p>
        </w:tc>
        <w:tc>
          <w:tcPr>
            <w:tcW w:type="dxa" w:w="2880"/>
          </w:tcPr>
          <w:p>
            <w:r>
              <w:t>+4.2%</w:t>
            </w:r>
          </w:p>
        </w:tc>
      </w:tr>
      <w:tr>
        <w:tc>
          <w:tcPr>
            <w:tcW w:type="dxa" w:w="2880"/>
          </w:tcPr>
          <w:p>
            <w:r>
              <w:t>Services (SERVICES)</w:t>
            </w:r>
          </w:p>
        </w:tc>
        <w:tc>
          <w:tcPr>
            <w:tcW w:type="dxa" w:w="2880"/>
          </w:tcPr>
          <w:p>
            <w:r>
              <w:t>-0.3%</w:t>
            </w:r>
          </w:p>
        </w:tc>
        <w:tc>
          <w:tcPr>
            <w:tcW w:type="dxa" w:w="2880"/>
          </w:tcPr>
          <w:p>
            <w:r>
              <w:t>-0.5%</w:t>
            </w:r>
          </w:p>
        </w:tc>
      </w:tr>
    </w:tbl>
    <w:p/>
    <w:p>
      <w:r>
        <w:rPr>
          <w:b/>
        </w:rPr>
        <w:t>Sectoral Transformation Insights:</w:t>
      </w:r>
    </w:p>
    <w:p>
      <w:pPr>
        <w:pStyle w:val="ListBullet"/>
      </w:pPr>
      <w:r>
        <w:t>Renewable energy sector expands dramatically: 145% above BAU in ETS1, 185% in ETS2. This reflects massive investment in solar, wind, and hydropower capacity to meet electricity demand with zero-emission sources.</w:t>
      </w:r>
    </w:p>
    <w:p>
      <w:pPr>
        <w:pStyle w:val="ListBullet"/>
      </w:pPr>
      <w:r>
        <w:t>Fossil energy sectors contract sharply: Gas output falls 42-58%, other energy (coal, oil) 38-52%. These sectors face double pressure from carbon pricing and competition from cheaper renewables.</w:t>
      </w:r>
    </w:p>
    <w:p>
      <w:pPr>
        <w:pStyle w:val="ListBullet"/>
      </w:pPr>
      <w:r>
        <w:t>Manufacturing (IND) experiences moderate contraction (-3.2% to -4.8%) due to higher energy costs, but remains globally competitive due to carbon border adjustment assumptions and productivity improvements.</w:t>
      </w:r>
    </w:p>
    <w:p>
      <w:pPr>
        <w:pStyle w:val="ListBullet"/>
      </w:pPr>
      <w:r>
        <w:t>Modal shift in transport: Rail expands (+5% to +8%) as electrification and carbon pricing make it more competitive relative to road and air transport. Road transport declines moderately as electric vehicles (modeled implicitly through reduced energy intensity) penetrate the fleet.</w:t>
      </w:r>
    </w:p>
    <w:p>
      <w:pPr>
        <w:pStyle w:val="ListBullet"/>
      </w:pPr>
      <w:r>
        <w:t>Services sector largely unaffected (-0.3% to -0.5%), reflecting low energy intensity and ability to pass through modest cost increases to consumers.</w:t>
      </w:r>
    </w:p>
    <w:p>
      <w:pPr>
        <w:pStyle w:val="Heading2"/>
      </w:pPr>
      <w:r>
        <w:t>8.4.2. Energy Mix Evolution</w:t>
      </w:r>
    </w:p>
    <w:p>
      <w:r>
        <w:t>Final energy consumption by carrier undergoes radical transformation under ETS2:</w:t>
      </w:r>
    </w:p>
    <w:p>
      <w:r>
        <w:rPr>
          <w:b/>
        </w:rPr>
        <w:t>2021 Base Year Energy Mix:</w:t>
      </w:r>
    </w:p>
    <w:p>
      <w:pPr>
        <w:pStyle w:val="ListBullet"/>
      </w:pPr>
      <w:r>
        <w:t>Renewables: 35%</w:t>
      </w:r>
    </w:p>
    <w:p>
      <w:pPr>
        <w:pStyle w:val="ListBullet"/>
      </w:pPr>
      <w:r>
        <w:t>Gas: 42%</w:t>
      </w:r>
    </w:p>
    <w:p>
      <w:pPr>
        <w:pStyle w:val="ListBullet"/>
      </w:pPr>
      <w:r>
        <w:t>Oil and coal: 23%</w:t>
      </w:r>
    </w:p>
    <w:p>
      <w:r>
        <w:rPr>
          <w:b/>
        </w:rPr>
        <w:t>2040 BAU Energy Mix:</w:t>
      </w:r>
    </w:p>
    <w:p>
      <w:pPr>
        <w:pStyle w:val="ListBullet"/>
      </w:pPr>
      <w:r>
        <w:t>Renewables: 63%</w:t>
      </w:r>
    </w:p>
    <w:p>
      <w:pPr>
        <w:pStyle w:val="ListBullet"/>
      </w:pPr>
      <w:r>
        <w:t>Gas: 28%</w:t>
      </w:r>
    </w:p>
    <w:p>
      <w:pPr>
        <w:pStyle w:val="ListBullet"/>
      </w:pPr>
      <w:r>
        <w:t>Oil and coal: 9%</w:t>
      </w:r>
    </w:p>
    <w:p>
      <w:r>
        <w:rPr>
          <w:b/>
        </w:rPr>
        <w:t>2040 ETS2 Energy Mix:</w:t>
      </w:r>
    </w:p>
    <w:p>
      <w:pPr>
        <w:pStyle w:val="ListBullet"/>
      </w:pPr>
      <w:r>
        <w:t>Renewables: 92%</w:t>
      </w:r>
    </w:p>
    <w:p>
      <w:pPr>
        <w:pStyle w:val="ListBullet"/>
      </w:pPr>
      <w:r>
        <w:t>Gas: 7% (mostly for peak demand and backup)</w:t>
      </w:r>
    </w:p>
    <w:p>
      <w:pPr>
        <w:pStyle w:val="ListBullet"/>
      </w:pPr>
      <w:r>
        <w:t>Oil and coal: 1% (residual use in specific applications)</w:t>
      </w:r>
    </w:p>
    <w:p>
      <w:r>
        <w:t>The transformation from 35% renewables (2021) to 92% (2040 ETS2) represents a fundamental energy system transition, with profound implications for energy security, infrastructure, and trade.</w:t>
      </w:r>
    </w:p>
    <w:p>
      <w:pPr>
        <w:pStyle w:val="Heading1"/>
      </w:pPr>
      <w:r>
        <w:t>8.5. Sensitivity Analysis and Robustness</w:t>
      </w:r>
    </w:p>
    <w:p>
      <w:r>
        <w:t>Key parameters were varied ±25% to assess robustness of results:</w:t>
      </w:r>
    </w:p>
    <w:p>
      <w:pPr>
        <w:pStyle w:val="Heading2"/>
      </w:pPr>
      <w:r>
        <w:t>8.5.1. Energy Substitution Elasticity</w:t>
      </w:r>
    </w:p>
    <w:p>
      <w:r>
        <w:t>Energy substitution elasticity (σ_EN) has the largest impact on results:</w:t>
      </w:r>
    </w:p>
    <w:p>
      <w:pPr>
        <w:pStyle w:val="ListBullet"/>
      </w:pPr>
      <w:r>
        <w:t>Higher σ_EN (+25%): Emissions fall 12% more than baseline due to easier substitution from fossil to renewable energy. GDP costs decrease by 15% as firms adjust more smoothly.</w:t>
      </w:r>
    </w:p>
    <w:p>
      <w:pPr>
        <w:pStyle w:val="ListBullet"/>
      </w:pPr>
      <w:r>
        <w:t>Lower σ_EN (-25%): Emissions fall 8% less than baseline due to technological constraints limiting fuel switching. GDP costs increase by 20% as adjustment friction intensifies.</w:t>
      </w:r>
    </w:p>
    <w:p>
      <w:pPr>
        <w:pStyle w:val="Heading2"/>
      </w:pPr>
      <w:r>
        <w:t>8.5.2. Armington Trade Elasticity</w:t>
      </w:r>
    </w:p>
    <w:p>
      <w:r>
        <w:t>Armington elasticity affects how easily domestic and imported goods substitute:</w:t>
      </w:r>
    </w:p>
    <w:p>
      <w:pPr>
        <w:pStyle w:val="ListBullet"/>
      </w:pPr>
      <w:r>
        <w:t>Higher Armington elasticity: Manufacturing sector better insulated from carbon pricing as imports substitute for domestic production. GDP costs fall 8%, but carbon leakage concerns increase.</w:t>
      </w:r>
    </w:p>
    <w:p>
      <w:pPr>
        <w:pStyle w:val="ListBullet"/>
      </w:pPr>
      <w:r>
        <w:t>Lower Armington elasticity: Domestic producers face full carbon cost without import competition relief. GDP costs rise 10%, but emissions reductions more secure (less leakage).</w:t>
      </w:r>
    </w:p>
    <w:p>
      <w:pPr>
        <w:pStyle w:val="Heading2"/>
      </w:pPr>
      <w:r>
        <w:t>8.5.3. AEEI Parameter</w:t>
      </w:r>
    </w:p>
    <w:p>
      <w:r>
        <w:t>Autonomous Energy Efficiency Improvement (AEEI) significantly affects long-run outcomes:</w:t>
      </w:r>
    </w:p>
    <w:p>
      <w:pPr>
        <w:pStyle w:val="ListBullet"/>
      </w:pPr>
      <w:r>
        <w:t>AEEI = 2.3% (high scenario): Emissions in 2040 are 18% lower across all scenarios. Energy transition easier and less costly as efficiency gains reduce energy demand growth.</w:t>
      </w:r>
    </w:p>
    <w:p>
      <w:pPr>
        <w:pStyle w:val="ListBullet"/>
      </w:pPr>
      <w:r>
        <w:t>AEEI = 1.3% (low scenario): Emissions in 2040 are 15% higher across all scenarios. Greater pressure on renewable deployment to meet targets, increasing investment needs and costs.</w:t>
      </w:r>
    </w:p>
    <w:p>
      <w:r>
        <w:t>Sensitivity analysis confirms that qualitative findings are robust: carbon pricing drives substantial emission reductions with moderate GDP costs across all parameter variations. Quantitative magnitudes vary, highlighting importance of continued empirical research on key elasticities.</w:t>
      </w:r>
    </w:p>
    <w:p>
      <w:pPr>
        <w:pStyle w:val="Heading1"/>
      </w:pPr>
      <w:r>
        <w:t>8.6. Summary of Key Findings</w:t>
      </w:r>
    </w:p>
    <w:p>
      <w:pPr>
        <w:pStyle w:val="ListBullet"/>
      </w:pPr>
      <w:r>
        <w:t>Ambitious carbon pricing (ETS2) can achieve 62% emission reduction by 2040, consistent with net-zero pathways, at moderate GDP cost (2.2% relative to baseline).</w:t>
      </w:r>
    </w:p>
    <w:p>
      <w:pPr>
        <w:pStyle w:val="ListBullet"/>
      </w:pPr>
      <w:r>
        <w:t>Renewable energy deployment accelerates dramatically under carbon pricing: from 35% (2021) to 92% (2040) in ETS2, requiring €465 billion investment but creating 120,000 net jobs.</w:t>
      </w:r>
    </w:p>
    <w:p>
      <w:pPr>
        <w:pStyle w:val="ListBullet"/>
      </w:pPr>
      <w:r>
        <w:t>Regional support policies successfully narrow disparities: Southern Italy benefits from renewable investment subsidies, experiencing smaller GDP losses and larger employment gains than Northern regions.</w:t>
      </w:r>
    </w:p>
    <w:p>
      <w:pPr>
        <w:pStyle w:val="ListBullet"/>
      </w:pPr>
      <w:r>
        <w:t>Household welfare impacts are mildly progressive: carbon revenue recycling through per capita rebates protects low-income households while high-income households bear most adjustment costs.</w:t>
      </w:r>
    </w:p>
    <w:p>
      <w:pPr>
        <w:pStyle w:val="ListBullet"/>
      </w:pPr>
      <w:r>
        <w:t>Sectoral transformation is profound: Renewable energy sector grows 185%, fossil energy contracts 50-60%, with modal shift toward electrified transport.</w:t>
      </w:r>
    </w:p>
    <w:p>
      <w:pPr>
        <w:pStyle w:val="ListBullet"/>
      </w:pPr>
      <w:r>
        <w:t>Policy design matters: MSR (ETS1) provides market-based flexibility; PSM (ETS2) offers greater price certainty for investment planning. Both mechanisms achieve deep emission reductions.</w:t>
      </w:r>
    </w:p>
    <w:p>
      <w:pPr>
        <w:pStyle w:val="ListBullet"/>
      </w:pPr>
      <w:r>
        <w:t>Results are robust to parameter variations, though quantitative magnitudes depend on energy substitution elasticity and autonomous efficiency trends.</w:t>
      </w:r>
    </w:p>
    <w:p>
      <w:pPr>
        <w:pStyle w:val="ListBullet"/>
      </w:pPr>
      <w:r>
        <w:t>Model limitations suggest actual costs may be lower: Induced innovation, health co-benefits, and avoided climate damages not captured would improve the policy cost-benefit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