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9. Conclusions and Policy Implications</w:t>
      </w:r>
    </w:p>
    <w:p>
      <w:pPr>
        <w:pStyle w:val="Heading1"/>
      </w:pPr>
      <w:r>
        <w:t>9.1. Main Conclusions</w:t>
      </w:r>
    </w:p>
    <w:p>
      <w:r>
        <w:t>This report has presented the CGE-I5 model, a comprehensive computable general equilibrium framework for analyzing climate policy impacts on the Italian economy. The model integrates production, consumption, trade, energy, and environmental dimensions across 11 sectors and 5 macro-regions, providing a holistic assessment of decarbonization pathways through 2040.</w:t>
      </w:r>
    </w:p>
    <w:p>
      <w:r>
        <w:rPr>
          <w:b/>
        </w:rPr>
        <w:t>The key conclusions from this modeling exercise are:</w:t>
      </w:r>
    </w:p>
    <w:p>
      <w:pPr>
        <w:pStyle w:val="Heading2"/>
      </w:pPr>
      <w:r>
        <w:t>9.1.1. Feasibility of Deep Decarbonization</w:t>
      </w:r>
    </w:p>
    <w:p>
      <w:r>
        <w:t>Italy can achieve deep emission reductions (53-62% by 2040) through ambitious carbon pricing combined with renewable energy support. The ETS1 and ETS2 scenarios demonstrate that reaching climate targets is technically and economically feasible, requiring GDP costs of 1.5-2.2% relative to baseline—moderate given the magnitude of transformation. These costs are likely upper bounds, as the model conservatively omits induced innovation, health co-benefits, and avoided climate damages.</w:t>
      </w:r>
    </w:p>
    <w:p>
      <w:pPr>
        <w:pStyle w:val="Heading2"/>
      </w:pPr>
      <w:r>
        <w:t>9.1.2. Central Role of Carbon Pricing</w:t>
      </w:r>
    </w:p>
    <w:p>
      <w:r>
        <w:t>Explicit carbon pricing is essential to achieve climate targets. The BAU scenario shows that autonomous efficiency improvements alone deliver only 18% emission reduction by 2040, far short of requirements. Carbon prices reaching €90-120/tCO₂ by 2040 provide the economic signal needed to drive investment in renewables, improve energy efficiency, and shift consumption patterns. The price trajectory must be credible and predictable to mobilize the €400+ billion investment required.</w:t>
      </w:r>
    </w:p>
    <w:p>
      <w:pPr>
        <w:pStyle w:val="Heading2"/>
      </w:pPr>
      <w:r>
        <w:t>9.1.3. Renewable Energy as Core Solution</w:t>
      </w:r>
    </w:p>
    <w:p>
      <w:r>
        <w:t>Decarbonization of electricity through renewable energy (solar, wind, hydro) is the foundation of Italy's low-carbon transition. Renewable electricity share must rise from 35% (2021) to 85-92% (2040) to meet targets. This requires sustained investment of €15-20 billion annually, creating over 100,000 jobs in construction, manufacturing, and maintenance. Italy's abundant solar and wind resources make this transition technically achievable, though grid flexibility and storage will be critical enablers.</w:t>
      </w:r>
    </w:p>
    <w:p>
      <w:pPr>
        <w:pStyle w:val="Heading2"/>
      </w:pPr>
      <w:r>
        <w:t>9.1.4. Importance of Regional Equity</w:t>
      </w:r>
    </w:p>
    <w:p>
      <w:r>
        <w:t>The 80% investment subsidy for renewable projects in Southern Italy and the Islands is highly effective in promoting regional convergence. Southern regions experience smaller GDP losses, larger employment gains, and faster renewable capacity growth under policy scenarios, narrowing historical disparities. This demonstrates that climate policy can be designed to address regional inequality, provided sufficient financial support and complementary policies (skills training, grid infrastructure) are implemented.</w:t>
      </w:r>
    </w:p>
    <w:p>
      <w:pPr>
        <w:pStyle w:val="Heading2"/>
      </w:pPr>
      <w:r>
        <w:t>9.1.5. Revenue Recycling Protects Households</w:t>
      </w:r>
    </w:p>
    <w:p>
      <w:r>
        <w:t>Recycling carbon revenues through per capita rebates largely protects household welfare, particularly for low-income groups. The policy is mildly progressive, with the bottom income quintile experiencing slight welfare gains while the top quintile bears most adjustment costs. This finding contradicts fears that carbon pricing is inherently regressive and highlights the importance of revenue use design. Lump-sum rebates combined with targeted support for vulnerable households can achieve both environmental and social objectives.</w:t>
      </w:r>
    </w:p>
    <w:p>
      <w:pPr>
        <w:pStyle w:val="Heading2"/>
      </w:pPr>
      <w:r>
        <w:t>9.1.6. Sectoral Winners and Losers</w:t>
      </w:r>
    </w:p>
    <w:p>
      <w:r>
        <w:t>The energy transition creates clear winners (renewable energy, rail transport, energy-efficient manufacturing) and losers (fossil energy, energy-intensive industry, road transport). The renewable energy sector expands 185% under ETS2, while gas and oil sectors contract 50-60%. These structural shifts necessitate just transition policies—worker retraining, early retirement support, regional economic diversification—to manage social impacts. Net employment effects are positive (+45,000 jobs), but geographic and sectoral mismatches require active labor market policies.</w:t>
      </w:r>
    </w:p>
    <w:p>
      <w:pPr>
        <w:pStyle w:val="Heading1"/>
      </w:pPr>
      <w:r>
        <w:t>9.2. Policy Implications</w:t>
      </w:r>
    </w:p>
    <w:p>
      <w:pPr>
        <w:pStyle w:val="Heading2"/>
      </w:pPr>
      <w:r>
        <w:t>9.2.1. For Italian Climate Policy</w:t>
      </w:r>
    </w:p>
    <w:p>
      <w:pPr>
        <w:pStyle w:val="ListBullet"/>
      </w:pPr>
      <w:r>
        <w:t>Establish credible carbon price trajectory: Announce clear price path through 2040 to provide investment certainty. Consider hybrid mechanisms combining ETS-like trading with price stability mechanisms.</w:t>
      </w:r>
    </w:p>
    <w:p>
      <w:pPr>
        <w:pStyle w:val="ListBullet"/>
      </w:pPr>
      <w:r>
        <w:t>Prioritize renewable energy deployment: Accelerate permitting for wind and solar projects, particularly in high-resource Southern regions. Invest in grid modernization to integrate variable renewables.</w:t>
      </w:r>
    </w:p>
    <w:p>
      <w:pPr>
        <w:pStyle w:val="ListBullet"/>
      </w:pPr>
      <w:r>
        <w:t>Design progressive revenue recycling: Implement per capita carbon dividends to maintain public support. Consider higher rebates for low-income households and rural areas with limited transport alternatives.</w:t>
      </w:r>
    </w:p>
    <w:p>
      <w:pPr>
        <w:pStyle w:val="ListBullet"/>
      </w:pPr>
      <w:r>
        <w:t>Support just transition: Create regional transition funds for communities dependent on fossil industries. Invest in retraining programs for displaced workers, with focus on renewable energy skills.</w:t>
      </w:r>
    </w:p>
    <w:p>
      <w:pPr>
        <w:pStyle w:val="ListBullet"/>
      </w:pPr>
      <w:r>
        <w:t>Address regional disparities: Maintain 80% subsidy for Southern Italy renewable investments. Complement with infrastructure, skills, and innovation support to build lasting local capacity.</w:t>
      </w:r>
    </w:p>
    <w:p>
      <w:pPr>
        <w:pStyle w:val="ListBullet"/>
      </w:pPr>
      <w:r>
        <w:t>Plan for electricity sector transformation: Develop flexibility solutions (storage, demand response, interconnections) to manage 90%+ renewable grid. Reform electricity market design to properly value flexibility.</w:t>
      </w:r>
    </w:p>
    <w:p>
      <w:pPr>
        <w:pStyle w:val="Heading2"/>
      </w:pPr>
      <w:r>
        <w:t>9.2.2. For EU Climate Policy</w:t>
      </w:r>
    </w:p>
    <w:p>
      <w:pPr>
        <w:pStyle w:val="ListBullet"/>
      </w:pPr>
      <w:r>
        <w:t>ETS2 design lessons: Italy results support EU ETS2 proposal for buildings and transport. Price Stability Mechanism (€45-120/tCO₂) provides investment certainty while limiting political backlash risk from price spikes.</w:t>
      </w:r>
    </w:p>
    <w:p>
      <w:pPr>
        <w:pStyle w:val="ListBullet"/>
      </w:pPr>
      <w:r>
        <w:t>Regional support mechanisms: EU-level support for renewable deployment in less-developed regions (e.g., Cohesion Funds, Just Transition Mechanism) is cost-effective in promoting convergence while advancing climate goals.</w:t>
      </w:r>
    </w:p>
    <w:p>
      <w:pPr>
        <w:pStyle w:val="ListBullet"/>
      </w:pPr>
      <w:r>
        <w:t>Carbon border adjustment: Armington elasticity sensitivity analysis highlights carbon leakage risks if EU acts alone. CBAM implementation critical to protect European industry and incentivize global climate action.</w:t>
      </w:r>
    </w:p>
    <w:p>
      <w:pPr>
        <w:pStyle w:val="ListBullet"/>
      </w:pPr>
      <w:r>
        <w:t>Revenue recycling coordination: Consider EU-wide guidance on carbon revenue use to ensure social acceptance. Share best practices on household rebates and just transition support.</w:t>
      </w:r>
    </w:p>
    <w:p>
      <w:pPr>
        <w:pStyle w:val="ListBullet"/>
      </w:pPr>
      <w:r>
        <w:t>Grid integration: Italy's high renewable penetration requires stronger European grid interconnections. EU investment in transmission infrastructure enables Italian renewable exports and enhances energy security.</w:t>
      </w:r>
    </w:p>
    <w:p>
      <w:pPr>
        <w:pStyle w:val="Heading2"/>
      </w:pPr>
      <w:r>
        <w:t>9.2.3. For CGE Modeling Practice</w:t>
      </w:r>
    </w:p>
    <w:p>
      <w:pPr>
        <w:pStyle w:val="ListBullet"/>
      </w:pPr>
      <w:r>
        <w:t>Regional disaggregation matters: Regional heterogeneity in resources, income, and institutions significantly affects policy outcomes. National-level models may miss important distributional impacts.</w:t>
      </w:r>
    </w:p>
    <w:p>
      <w:pPr>
        <w:pStyle w:val="ListBullet"/>
      </w:pPr>
      <w:r>
        <w:t>Energy-environment integration: Explicit modeling of energy carriers and emission factors is essential for climate policy analysis. Simplified energy representation can misestimate abatement costs and technological feasibility.</w:t>
      </w:r>
    </w:p>
    <w:p>
      <w:pPr>
        <w:pStyle w:val="ListBullet"/>
      </w:pPr>
      <w:r>
        <w:t>Dynamic modeling requirements: Recursive dynamics capturing capital accumulation and technology change are necessary for long-run policy assessment. Static models underestimate adjustment capacity.</w:t>
      </w:r>
    </w:p>
    <w:p>
      <w:pPr>
        <w:pStyle w:val="ListBullet"/>
      </w:pPr>
      <w:r>
        <w:t>Sensitivity analysis: Results depend critically on energy substitution elasticity and AEEI parameters. Continued empirical research on these parameters should be a priority.</w:t>
      </w:r>
    </w:p>
    <w:p>
      <w:pPr>
        <w:pStyle w:val="ListBullet"/>
      </w:pPr>
      <w:r>
        <w:t>Model limitations: Omitted factors (induced innovation, health co-benefits, behavioral change) likely mean CGE models overestimate policy costs. Complementary analysis methods (IAMs, sector models) strengthen overall assessment.</w:t>
      </w:r>
    </w:p>
    <w:p>
      <w:pPr>
        <w:pStyle w:val="Heading1"/>
      </w:pPr>
      <w:r>
        <w:t>9.3. Future Research Directions</w:t>
      </w:r>
    </w:p>
    <w:p>
      <w:r>
        <w:t>Several extensions would strengthen the CGE-I5 model and address current limitations:</w:t>
      </w:r>
    </w:p>
    <w:p>
      <w:pPr>
        <w:pStyle w:val="Heading2"/>
      </w:pPr>
      <w:r>
        <w:t>9.3.1. Model Enhancements</w:t>
      </w:r>
    </w:p>
    <w:p>
      <w:pPr>
        <w:pStyle w:val="ListBullet"/>
      </w:pPr>
      <w:r>
        <w:t>Endogenous technological change: Incorporate induced innovation and learning-by-doing in renewable energy to capture policy-driven cost reductions and feedback effects on adoption.</w:t>
      </w:r>
    </w:p>
    <w:p>
      <w:pPr>
        <w:pStyle w:val="ListBullet"/>
      </w:pPr>
      <w:r>
        <w:t>Explicit technology choice: Disaggregate renewable energy into solar, wind, biomass with distinct costs, capacity factors, and resource constraints. Include energy storage as explicit technology option.</w:t>
      </w:r>
    </w:p>
    <w:p>
      <w:pPr>
        <w:pStyle w:val="ListBullet"/>
      </w:pPr>
      <w:r>
        <w:t>Air quality co-benefits: Model health impacts of reduced air pollution from fossil fuel phase-out. Quantify mortality and morbidity benefits to provide fuller cost-benefit assessment.</w:t>
      </w:r>
    </w:p>
    <w:p>
      <w:pPr>
        <w:pStyle w:val="ListBullet"/>
      </w:pPr>
      <w:r>
        <w:t>Behavioral parameters: Incorporate bounded rationality, inertia, and heterogeneous discounting in household and firm decisions to better capture real-world adjustment dynamics.</w:t>
      </w:r>
    </w:p>
    <w:p>
      <w:pPr>
        <w:pStyle w:val="ListBullet"/>
      </w:pPr>
      <w:r>
        <w:t>Financial sector: Add banking and capital markets to model financing constraints, risk premia, and role of green finance in enabling transition investment.</w:t>
      </w:r>
    </w:p>
    <w:p>
      <w:pPr>
        <w:pStyle w:val="ListBullet"/>
      </w:pPr>
      <w:r>
        <w:t>Land use: Include agriculture-forestry-land use to assess bioenergy potential, carbon sequestration, and competition for land between food, energy, and conservation.</w:t>
      </w:r>
    </w:p>
    <w:p>
      <w:pPr>
        <w:pStyle w:val="Heading2"/>
      </w:pPr>
      <w:r>
        <w:t>9.3.2. Policy Analysis Extensions</w:t>
      </w:r>
    </w:p>
    <w:p>
      <w:pPr>
        <w:pStyle w:val="ListBullet"/>
      </w:pPr>
      <w:r>
        <w:t>Additional policy instruments: Analyze complementary policies such as renewable portfolio standards, energy efficiency mandates, vehicle electrification requirements, and building codes.</w:t>
      </w:r>
    </w:p>
    <w:p>
      <w:pPr>
        <w:pStyle w:val="ListBullet"/>
      </w:pPr>
      <w:r>
        <w:t>EU-wide coordination: Link CGE-I5 to models of other EU countries to assess impacts of coordinated EU climate policy and cross-border effects (trade, electricity flows, carbon leakage).</w:t>
      </w:r>
    </w:p>
    <w:p>
      <w:pPr>
        <w:pStyle w:val="ListBullet"/>
      </w:pPr>
      <w:r>
        <w:t>Uncertainty analysis: Stochastic simulations incorporating uncertainty in parameters (elasticities, AEEI), exogenous variables (world prices, demographics), and policies (future stringency).</w:t>
      </w:r>
    </w:p>
    <w:p>
      <w:pPr>
        <w:pStyle w:val="ListBullet"/>
      </w:pPr>
      <w:r>
        <w:t>Net-zero pathways: Extend time horizon to 2050 and model pathways to net-zero emissions, including negative emissions technologies (BECCS, DAC) and residual emissions sectors (agriculture).</w:t>
      </w:r>
    </w:p>
    <w:p>
      <w:pPr>
        <w:pStyle w:val="ListBullet"/>
      </w:pPr>
      <w:r>
        <w:t>Circular economy: Incorporate material efficiency, recycling, and circular business models to assess their role in reducing emissions and resource consumption.</w:t>
      </w:r>
    </w:p>
    <w:p>
      <w:pPr>
        <w:pStyle w:val="ListBullet"/>
      </w:pPr>
      <w:r>
        <w:t>Climate impacts: Introduce climate change impacts (heat stress, agricultural productivity, coastal damages) to model adaptation needs and benefits of avoided damages.</w:t>
      </w:r>
    </w:p>
    <w:p>
      <w:pPr>
        <w:pStyle w:val="Heading2"/>
      </w:pPr>
      <w:r>
        <w:t>9.3.3. Empirical Priorities</w:t>
      </w:r>
    </w:p>
    <w:p>
      <w:pPr>
        <w:pStyle w:val="ListBullet"/>
      </w:pPr>
      <w:r>
        <w:t>Energy substitution elasticity: Econometric estimation using Italian firm-level data to improve calibration of this critical parameter, with attention to heterogeneity across industries.</w:t>
      </w:r>
    </w:p>
    <w:p>
      <w:pPr>
        <w:pStyle w:val="ListBullet"/>
      </w:pPr>
      <w:r>
        <w:t>AEEI trends: Analysis of historical energy efficiency improvements in Italy by sector to project future trends and identify policy drivers vs. autonomous change.</w:t>
      </w:r>
    </w:p>
    <w:p>
      <w:pPr>
        <w:pStyle w:val="ListBullet"/>
      </w:pPr>
      <w:r>
        <w:t>Household energy behavior: Surveys and experiments to understand household response to carbon pricing, rebates, and information provision, informing behavioral parameter calibration.</w:t>
      </w:r>
    </w:p>
    <w:p>
      <w:pPr>
        <w:pStyle w:val="ListBullet"/>
      </w:pPr>
      <w:r>
        <w:t>Regional characteristics: Detailed data collection on regional differences in industrial structure, energy systems, renewable resources, and institutional capacity to refine regional modules.</w:t>
      </w:r>
    </w:p>
    <w:p>
      <w:pPr>
        <w:pStyle w:val="ListBullet"/>
      </w:pPr>
      <w:r>
        <w:t>Renewable deployment barriers: Qualitative research on non-price barriers (permitting, grid access, social acceptance, financing) to inform complementary policy design beyond carbon pricing.</w:t>
      </w:r>
    </w:p>
    <w:p>
      <w:pPr>
        <w:pStyle w:val="Heading1"/>
      </w:pPr>
      <w:r>
        <w:t>9.4. Final Remarks</w:t>
      </w:r>
    </w:p>
    <w:p>
      <w:r>
        <w:t>The CGE-I5 model demonstrates that Italy can achieve ambitious climate targets through well-designed carbon pricing and renewable energy support, with manageable economic costs and significant co-benefits. The transition to a low-carbon economy represents not only an environmental necessity but also an economic opportunity—creating jobs, reducing energy import dependence, improving air quality, and fostering regional development.</w:t>
      </w:r>
    </w:p>
    <w:p>
      <w:r>
        <w:t>Success requires sustained political commitment, careful policy design, and proactive management of distributional impacts. Carbon pricing must be combined with complementary policies: renewable energy support, grid modernization, regional development programs, and just transition measures for affected workers and communities. Revenue recycling through household rebates is essential for maintaining public support.</w:t>
      </w:r>
    </w:p>
    <w:p>
      <w:r>
        <w:t>The model provides a rigorous analytical foundation for policy design but should not be interpreted as providing precise forecasts. Scenario results illustrate plausible outcomes under different policy choices, highlighting trade-offs and design considerations. Policy decisions must integrate CGE model insights with broader considerations: technological uncertainties, political feasibility, international coordination, and ethical dimensions of climate action.</w:t>
      </w:r>
    </w:p>
    <w:p>
      <w:r>
        <w:t>As Italy and Europe embark on this historic transformation, models like CGE-I5 serve as valuable tools for exploring pathways, anticipating challenges, and designing effective policies. Continued model development, empirical research, and policy evaluation will refine our understanding and improve decision-making. The path to climate neutrality is challenging but achievable, and the costs of inaction far exceed the costs of transition.</w:t>
      </w:r>
    </w:p>
    <w:p>
      <w:r>
        <w:br w:type="page"/>
      </w:r>
    </w:p>
    <w:p>
      <w:pPr>
        <w:pStyle w:val="Title"/>
      </w:pPr>
      <w:r>
        <w:t>References</w:t>
      </w:r>
    </w:p>
    <w:p>
      <w:r>
        <w:t>The following references were cited throughout this report. References are organized alphabetically by author.</w:t>
      </w:r>
    </w:p>
    <w:p/>
    <w:p>
      <w:r>
        <w:rPr>
          <w:b/>
        </w:rPr>
        <w:t>Computable General Equilibrium Modeling Foundations</w:t>
      </w:r>
    </w:p>
    <w:p/>
    <w:p>
      <w:pPr>
        <w:pStyle w:val="ListBullet"/>
      </w:pPr>
      <w:r>
        <w:t>Arrow, K. J., &amp; Debreu, G. (1954). Existence of an equilibrium for a competitive economy. Econometrica, 22(3), 265-290. https://doi.org/10.2307/1907353</w:t>
      </w:r>
    </w:p>
    <w:p>
      <w:pPr>
        <w:pStyle w:val="ListBullet"/>
      </w:pPr>
      <w:r>
        <w:t>Lofgren, H., Harris, R. L., &amp; Robinson, S. (2002). A standard computable general equilibrium (CGE) model in GAMS. Microcomputers in Policy Research, 5, 1-75. Washington, DC: International Food Policy Research Institute.</w:t>
      </w:r>
    </w:p>
    <w:p>
      <w:pPr>
        <w:pStyle w:val="ListBullet"/>
      </w:pPr>
      <w:r>
        <w:t>Scarf, H. E. (1967). On the computation of equilibrium prices. In W. J. Fellner (Ed.), Ten Economic Studies in the Tradition of Irving Fisher (pp. 207-230). New York: Wiley.</w:t>
      </w:r>
    </w:p>
    <w:p>
      <w:pPr>
        <w:pStyle w:val="ListBullet"/>
      </w:pPr>
      <w:r>
        <w:t>Shoven, J. B., &amp; Whalley, J. (1984). Applied general-equilibrium models of taxation and international trade: An introduction and survey. Journal of Economic Literature, 22(3), 1007-1051.</w:t>
      </w:r>
    </w:p>
    <w:p>
      <w:pPr>
        <w:pStyle w:val="ListBullet"/>
      </w:pPr>
      <w:r>
        <w:t>Wing, I. S. (2004). Computable general equilibrium models and their use in economy-wide policy analysis. MIT Joint Program on the Science and Policy of Global Change, Technical Note No. 6.</w:t>
      </w:r>
    </w:p>
    <w:p/>
    <w:p>
      <w:r>
        <w:rPr>
          <w:b/>
        </w:rPr>
        <w:t>Energy-Economy CGE Models</w:t>
      </w:r>
    </w:p>
    <w:p/>
    <w:p>
      <w:pPr>
        <w:pStyle w:val="ListBullet"/>
      </w:pPr>
      <w:r>
        <w:t>Babiker, M. H., Metcalf, G. E., &amp; Reilly, J. (2003). Tax distortions and global climate policy. Journal of Environmental Economics and Management, 46(2), 269-287. https://doi.org/10.1016/S0095-0696(02)00039-6</w:t>
      </w:r>
    </w:p>
    <w:p>
      <w:pPr>
        <w:pStyle w:val="ListBullet"/>
      </w:pPr>
      <w:r>
        <w:t>Böhringer, C., &amp; Rutherford, T. F. (2008). Combining bottom-up and top-down. Energy Economics, 30(2), 574-596. https://doi.org/10.1016/j.eneco.2007.03.004</w:t>
      </w:r>
    </w:p>
    <w:p>
      <w:pPr>
        <w:pStyle w:val="ListBullet"/>
      </w:pPr>
      <w:r>
        <w:t>Burniaux, J. M., &amp; Truong, T. P. (2002). GTAP-E: An energy-environmental version of the GTAP model. GTAP Technical Paper No. 16, Center for Global Trade Analysis, Purdue University.</w:t>
      </w:r>
    </w:p>
    <w:p>
      <w:pPr>
        <w:pStyle w:val="ListBullet"/>
      </w:pPr>
      <w:r>
        <w:t>Capros, P., Van Regemorter, D., Paroussos, L., &amp; Karkatsoulis, P. (2013). GEM-E3 model documentation. JRC Scientific and Policy Reports, Publications Office of the European Union.</w:t>
      </w:r>
    </w:p>
    <w:p>
      <w:pPr>
        <w:pStyle w:val="ListBullet"/>
      </w:pPr>
      <w:r>
        <w:t>Paltsev, S., Reilly, J. M., Jacoby, H. D., Eckaus, R. S., McFarland, J., Sarofim, M., ... &amp; Babiker, M. (2005). The MIT emissions prediction and policy analysis (EPPA) model: version 4. MIT Joint Program Report Series, Report 125.</w:t>
      </w:r>
    </w:p>
    <w:p>
      <w:pPr>
        <w:pStyle w:val="ListBullet"/>
      </w:pPr>
      <w:r>
        <w:t>Sue Wing, I. (2008). The synthesis of bottom-up and top-down approaches to climate policy modeling: Electric power technology detail in a social accounting framework. Energy Economics, 30(2), 547-573. https://doi.org/10.1016/j.eneco.2006.06.004</w:t>
      </w:r>
    </w:p>
    <w:p/>
    <w:p>
      <w:r>
        <w:rPr>
          <w:b/>
        </w:rPr>
        <w:t>Climate Policy and Carbon Pricing</w:t>
      </w:r>
    </w:p>
    <w:p/>
    <w:p>
      <w:pPr>
        <w:pStyle w:val="ListBullet"/>
      </w:pPr>
      <w:r>
        <w:t>Gerlagh, R., &amp; van der Zwaan, B. (2004). A sensitivity analysis on timing and costs of greenhouse gas abatement, calculations with DEMETER. Climatic Change, 65(1-2), 39-71. https://doi.org/10.1023/B:CLIM.0000037226.48550.b3</w:t>
      </w:r>
    </w:p>
    <w:p>
      <w:pPr>
        <w:pStyle w:val="ListBullet"/>
      </w:pPr>
      <w:r>
        <w:t>Nordhaus, W. D. (2017). Revisiting the social cost of carbon. Proceedings of the National Academy of Sciences, 114(7), 1518-1523. https://doi.org/10.1073/pnas.1609244114</w:t>
      </w:r>
    </w:p>
    <w:p>
      <w:pPr>
        <w:pStyle w:val="ListBullet"/>
      </w:pPr>
      <w:r>
        <w:t>Nordhaus, W. D., &amp; Boyer, J. (2000). Warming the world: Economic models of global warming. Cambridge, MA: MIT Press.</w:t>
      </w:r>
    </w:p>
    <w:p>
      <w:pPr>
        <w:pStyle w:val="ListBullet"/>
      </w:pPr>
      <w:r>
        <w:t>Perino, G., Ritz, R. A., &amp; van Benthem, A. (2022). Understanding overlapping policies: Internal carbon leakage and the effect of demand-side policies. Journal of the Association of Environmental and Resource Economists, 9(5), 881-923. https://doi.org/10.1086/718879</w:t>
      </w:r>
    </w:p>
    <w:p>
      <w:pPr>
        <w:pStyle w:val="ListBullet"/>
      </w:pPr>
      <w:r>
        <w:t>Stern, N. (2007). The economics of climate change: The Stern review. Cambridge University Press.</w:t>
      </w:r>
    </w:p>
    <w:p>
      <w:pPr>
        <w:pStyle w:val="ListBullet"/>
      </w:pPr>
      <w:r>
        <w:t>Tol, R. S. (2009). The economic effects of climate change. Journal of Economic Perspectives, 23(2), 29-51. https://doi.org/10.1257/jep.23.2.29</w:t>
      </w:r>
    </w:p>
    <w:p>
      <w:pPr>
        <w:pStyle w:val="ListBullet"/>
      </w:pPr>
      <w:r>
        <w:t>World Bank. (2023). State and trends of carbon pricing 2023. Washington, DC: World Bank. https://openknowledge.worldbank.org/handle/10986/39796</w:t>
      </w:r>
    </w:p>
    <w:p/>
    <w:p>
      <w:r>
        <w:rPr>
          <w:b/>
        </w:rPr>
        <w:t>EU Emissions Trading System</w:t>
      </w:r>
    </w:p>
    <w:p/>
    <w:p>
      <w:pPr>
        <w:pStyle w:val="ListBullet"/>
      </w:pPr>
      <w:r>
        <w:t>Convery, F. J. (2009). Origins and development of the EU ETS. Environmental and Resource Economics, 43(3), 391-412. https://doi.org/10.1007/s10640-009-9275-7</w:t>
      </w:r>
    </w:p>
    <w:p>
      <w:pPr>
        <w:pStyle w:val="ListBullet"/>
      </w:pPr>
      <w:r>
        <w:t>Ellerman, A. D., Marcantonini, C., &amp; Zaklan, A. (2016). The European Union emissions trading system: Ten years and counting. Review of Environmental Economics and Policy, 10(1), 89-107. https://doi.org/10.1093/reep/rev014</w:t>
      </w:r>
    </w:p>
    <w:p>
      <w:pPr>
        <w:pStyle w:val="ListBullet"/>
      </w:pPr>
      <w:r>
        <w:t>Perino, G. (2018). New EU ETS phase 4 rules temporarily puncture waterbed. Nature Climate Change, 8(4), 262-264. https://doi.org/10.1038/s41558-018-0120-2</w:t>
      </w:r>
    </w:p>
    <w:p>
      <w:pPr>
        <w:pStyle w:val="ListBullet"/>
      </w:pPr>
      <w:r>
        <w:t>Perino, G., &amp; Willner, M. (2016). Procrastinating reform: The impact of the market stability reserve on the EU ETS. Journal of Environmental Economics and Management, 80, 37-52. https://doi.org/10.1016/j.jeem.2016.09.006</w:t>
      </w:r>
    </w:p>
    <w:p>
      <w:pPr>
        <w:pStyle w:val="ListBullet"/>
      </w:pPr>
      <w:r>
        <w:t>Tvinnereim, E., &amp; Mehling, M. (2018). Carbon pricing and deep decarbonisation. Energy Policy, 121, 185-189. https://doi.org/10.1016/j.enpol.2018.06.020</w:t>
      </w:r>
    </w:p>
    <w:p/>
    <w:p>
      <w:r>
        <w:rPr>
          <w:b/>
        </w:rPr>
        <w:t>Renewable Energy and Energy Transition</w:t>
      </w:r>
    </w:p>
    <w:p/>
    <w:p>
      <w:pPr>
        <w:pStyle w:val="ListBullet"/>
      </w:pPr>
      <w:r>
        <w:t>IEA (International Energy Agency). (2021). Net Zero by 2050: A Roadmap for the Global Energy Sector. Paris: IEA.</w:t>
      </w:r>
    </w:p>
    <w:p>
      <w:pPr>
        <w:pStyle w:val="ListBullet"/>
      </w:pPr>
      <w:r>
        <w:t>IEA (International Energy Agency). (2023). World Energy Outlook 2023. Paris: IEA.</w:t>
      </w:r>
    </w:p>
    <w:p>
      <w:pPr>
        <w:pStyle w:val="ListBullet"/>
      </w:pPr>
      <w:r>
        <w:t>IRENA (International Renewable Energy Agency). (2022). Renewable Power Generation Costs in 2021. Abu Dhabi: IRENA.</w:t>
      </w:r>
    </w:p>
    <w:p>
      <w:pPr>
        <w:pStyle w:val="ListBullet"/>
      </w:pPr>
      <w:r>
        <w:t>Jäger-Waldau, A. (2020). Snapshot of photovoltaics—February 2020. Energies, 13(4), 930. https://doi.org/10.3390/en13040930</w:t>
      </w:r>
    </w:p>
    <w:p>
      <w:pPr>
        <w:pStyle w:val="ListBullet"/>
      </w:pPr>
      <w:r>
        <w:t>Lund, H., Østergaard, P. A., Connolly, D., &amp; Mathiesen, B. V. (2017). Smart energy and smart energy systems. Energy, 137, 556-565. https://doi.org/10.1016/j.energy.2017.05.123</w:t>
      </w:r>
    </w:p>
    <w:p/>
    <w:p>
      <w:r>
        <w:rPr>
          <w:b/>
        </w:rPr>
        <w:t>Italian Energy and Climate Policy</w:t>
      </w:r>
    </w:p>
    <w:p/>
    <w:p>
      <w:pPr>
        <w:pStyle w:val="ListBullet"/>
      </w:pPr>
      <w:r>
        <w:t>Antonioli, D., Borghesi, S., &amp; Mazzanti, M. (2016). Are regional systems greening the economy? Local spillovers, green innovations and firms' economic performances. Economics of Innovation and New Technology, 25(7), 692-713. https://doi.org/10.1080/10438599.2015.1127557</w:t>
      </w:r>
    </w:p>
    <w:p>
      <w:pPr>
        <w:pStyle w:val="ListBullet"/>
      </w:pPr>
      <w:r>
        <w:t>Costantini, V., Crespi, F., Martini, C., &amp; Pennacchio, L. (2015). Demand-pull and technology-push public support for eco-innovation: The case of the biofuels sector. Research Policy, 44(3), 577-595. https://doi.org/10.1016/j.respol.2014.12.011</w:t>
      </w:r>
    </w:p>
    <w:p>
      <w:pPr>
        <w:pStyle w:val="ListBullet"/>
      </w:pPr>
      <w:r>
        <w:t>GSE (Gestore dei Servizi Energetici). (2023). Rapporto statistico 2022: Energia da fonti rinnovabili in Italia. Rome: GSE.</w:t>
      </w:r>
    </w:p>
    <w:p>
      <w:pPr>
        <w:pStyle w:val="ListBullet"/>
      </w:pPr>
      <w:r>
        <w:t>ISPRA (Istituto Superiore per la Protezione e la Ricerca Ambientale). (2023). Italian Greenhouse Gas Inventory 1990-2021: National Inventory Report 2023. Rome: ISPRA.</w:t>
      </w:r>
    </w:p>
    <w:p>
      <w:pPr>
        <w:pStyle w:val="ListBullet"/>
      </w:pPr>
      <w:r>
        <w:t>ISTAT (Istituto Nazionale di Statistica). (2023). Conti economici nazionali. Rome: ISTAT.</w:t>
      </w:r>
    </w:p>
    <w:p>
      <w:pPr>
        <w:pStyle w:val="ListBullet"/>
      </w:pPr>
      <w:r>
        <w:t>Mazzanti, M., &amp; Zoboli, R. (2009). Municipal waste Kuznets curves: Evidence on socio-economic drivers and policy effectiveness from the EU. Environmental and Resource Economics, 44(2), 203-230. https://doi.org/10.1007/s10640-009-9280-x</w:t>
      </w:r>
    </w:p>
    <w:p/>
    <w:p>
      <w:r>
        <w:rPr>
          <w:b/>
        </w:rPr>
        <w:t>Econometric Methods and Parameter Estimation</w:t>
      </w:r>
    </w:p>
    <w:p/>
    <w:p>
      <w:pPr>
        <w:pStyle w:val="ListBullet"/>
      </w:pPr>
      <w:r>
        <w:t>Antràs, P. (2004). Is the U.S. aggregate production function Cobb-Douglas? New estimates of the elasticity of substitution. Contributions in Macroeconomics, 4(1), Article 4. https://doi.org/10.2202/1534-6005.1161</w:t>
      </w:r>
    </w:p>
    <w:p>
      <w:pPr>
        <w:pStyle w:val="ListBullet"/>
      </w:pPr>
      <w:r>
        <w:t>Chirinko, R. S. (2008). σ: The long and short of it. Journal of Macroeconomics, 30(2), 671-686. https://doi.org/10.1016/j.jmacro.2007.10.010</w:t>
      </w:r>
    </w:p>
    <w:p>
      <w:pPr>
        <w:pStyle w:val="ListBullet"/>
      </w:pPr>
      <w:r>
        <w:t>Hertel, T., Hummels, D., Ivanic, M., &amp; Keeney, R. (2007). How confident can we be of CGE-based assessments of Free Trade Agreements? Economic Modelling, 24(4), 611-635. https://doi.org/10.1016/j.econmod.2006.12.002</w:t>
      </w:r>
    </w:p>
    <w:p>
      <w:pPr>
        <w:pStyle w:val="ListBullet"/>
      </w:pPr>
      <w:r>
        <w:t>Koetse, M. J., de Groot, H. L., &amp; Florax, R. J. (2008). Capital-energy substitution and shifts in factor demand: A meta-analysis. Energy Economics, 30(5), 2236-2251. https://doi.org/10.1016/j.eneco.2007.06.006</w:t>
      </w:r>
    </w:p>
    <w:p>
      <w:pPr>
        <w:pStyle w:val="ListBullet"/>
      </w:pPr>
      <w:r>
        <w:t>Lluch, C., Powell, A. A., &amp; Williams, R. A. (1977). Patterns in household demand and saving. Oxford University Press for the World Bank.</w:t>
      </w:r>
    </w:p>
    <w:p>
      <w:pPr>
        <w:pStyle w:val="ListBullet"/>
      </w:pPr>
      <w:r>
        <w:t>Robinson, S., Cattaneo, A., &amp; El-Said, M. (2001). Updating and estimating a social accounting matrix using cross entropy methods. Economic Systems Research, 13(1), 47-64. https://doi.org/10.1080/09535310120026247</w:t>
      </w:r>
    </w:p>
    <w:p/>
    <w:p>
      <w:r>
        <w:rPr>
          <w:b/>
        </w:rPr>
        <w:t>Optimization and Numerical Methods</w:t>
      </w:r>
    </w:p>
    <w:p/>
    <w:p>
      <w:pPr>
        <w:pStyle w:val="ListBullet"/>
      </w:pPr>
      <w:r>
        <w:t>Byrd, R. H., Nocedal, J., &amp; Waltz, R. A. (2006). KNITRO: An integrated package for nonlinear optimization. In G. di Pillo &amp; M. Roma (Eds.), Large-Scale Nonlinear Optimization (pp. 35-59). Boston, MA: Springer. https://doi.org/10.1007/0-387-30065-1_4</w:t>
      </w:r>
    </w:p>
    <w:p>
      <w:pPr>
        <w:pStyle w:val="ListBullet"/>
      </w:pPr>
      <w:r>
        <w:t>Hart, W. E., Laird, C. D., Watson, J. P., Woodruff, D. L., Hackebeil, G. A., Nicholson, B. L., &amp; Siirola, J. D. (2017). Pyomo–optimization modeling in python (Vol. 67, second edition). Springer Science &amp; Business Media.</w:t>
      </w:r>
    </w:p>
    <w:p>
      <w:pPr>
        <w:pStyle w:val="ListBullet"/>
      </w:pPr>
      <w:r>
        <w:t>Hart, W. E., Watson, J. P., &amp; Woodruff, D. L. (2011). Pyomo: Modeling and solving mathematical programs in Python. Mathematical Programming Computation, 3(3), 219-260. https://doi.org/10.1007/s12532-011-0026-8</w:t>
      </w:r>
    </w:p>
    <w:p>
      <w:pPr>
        <w:pStyle w:val="ListBullet"/>
      </w:pPr>
      <w:r>
        <w:t>Wächter, A., &amp; Biegler, L. T. (2006). On the implementation of an interior-point filter line-search algorithm for large-scale nonlinear programming. Mathematical Programming, 106(1), 25-57. https://doi.org/10.1007/s10107-004-0559-y</w:t>
      </w:r>
    </w:p>
    <w:p/>
    <w:p>
      <w:r>
        <w:rPr>
          <w:b/>
        </w:rPr>
        <w:t>Distributional and Regional Analysis</w:t>
      </w:r>
    </w:p>
    <w:p/>
    <w:p>
      <w:pPr>
        <w:pStyle w:val="ListBullet"/>
      </w:pPr>
      <w:r>
        <w:t>Carattini, S., Carvalho, M., &amp; Fankhauser, S. (2018). Overcoming public resistance to carbon taxes. Wiley Interdisciplinary Reviews: Climate Change, 9(5), e531. https://doi.org/10.1002/wcc.531</w:t>
      </w:r>
    </w:p>
    <w:p>
      <w:pPr>
        <w:pStyle w:val="ListBullet"/>
      </w:pPr>
      <w:r>
        <w:t>Goulder, L. H., Hafstead, M. A., Kim, G., &amp; Long, X. (2019). Impacts of a carbon tax across US household income groups: What are the equity-efficiency trade-offs? Journal of Public Economics, 175, 44-64. https://doi.org/10.1016/j.jpubeco.2019.04.002</w:t>
      </w:r>
    </w:p>
    <w:p>
      <w:pPr>
        <w:pStyle w:val="ListBullet"/>
      </w:pPr>
      <w:r>
        <w:t>Markkanen, S., &amp; Anger-Kraavi, A. (2019). Social impacts of climate change mitigation policies and their implications for inequality. Climate Policy, 19(7), 827-844. https://doi.org/10.1080/14693062.2019.1596873</w:t>
      </w:r>
    </w:p>
    <w:p>
      <w:pPr>
        <w:pStyle w:val="ListBullet"/>
      </w:pPr>
      <w:r>
        <w:t>Rausch, S., Metcalf, G. E., &amp; Reilly, J. M. (2011). Distributional impacts of carbon pricing: A general equilibrium approach with micro-data for households. Energy Economics, 33, S20-S33. https://doi.org/10.1016/j.eneco.2011.07.023</w:t>
      </w:r>
    </w:p>
    <w:p/>
    <w:p/>
    <w:p>
      <w:r>
        <w:rPr>
          <w:b/>
        </w:rPr>
        <w:t>Data Sources</w:t>
      </w:r>
    </w:p>
    <w:p/>
    <w:p>
      <w:pPr>
        <w:pStyle w:val="ListBullet"/>
      </w:pPr>
      <w:r>
        <w:t>EUROSTAT: European statistical database for trade, energy, and emissions data.</w:t>
      </w:r>
    </w:p>
    <w:p>
      <w:pPr>
        <w:pStyle w:val="ListBullet"/>
      </w:pPr>
      <w:r>
        <w:t>IEA (International Energy Agency): World Energy Balances and energy price statistics.</w:t>
      </w:r>
    </w:p>
    <w:p>
      <w:pPr>
        <w:pStyle w:val="ListBullet"/>
      </w:pPr>
      <w:r>
        <w:t>IPCC (Intergovernmental Panel on Climate Change): 2006 IPCC Guidelines for National Greenhouse Gas Inventories.</w:t>
      </w:r>
    </w:p>
    <w:p>
      <w:pPr>
        <w:pStyle w:val="ListBullet"/>
      </w:pPr>
      <w:r>
        <w:t>ISPRA (Istituto Superiore per la Protezione e la Ricerca Ambientale): Italian emissions inventory and environmental statistics.</w:t>
      </w:r>
    </w:p>
    <w:p>
      <w:pPr>
        <w:pStyle w:val="ListBullet"/>
      </w:pPr>
      <w:r>
        <w:t>ISTAT (Istituto Nazionale di Statistica): Italian national accounts, supply-use tables, regional accounts, household budget surveys, and demographic projections.</w:t>
      </w:r>
    </w:p>
    <w:p>
      <w:pPr>
        <w:pStyle w:val="ListBullet"/>
      </w:pPr>
      <w:r>
        <w:t>World Bank: Commodity price forecasts and development indicators.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