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CO2 Emissions by Source Results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Our sectoral emissions analysis reveals substantial decarbonization potential across all sources by 2040. From a 2021 baseline of 112.85 MtCO₂, we project total emissions declining to 66.89 MtCO₂ under BAU (-40.7%), 57.64 MtCO₂ under ETS1 (-48.9%), and 38.47 MtCO₂ under ETS2 (-65.9%) (IPCC, 2022). The household sector dominates emissions (60.1% in 2021) and shows the largest absolute reduction under ETS2: 67.84→21.68 MtCO₂ (-68.0%) (IEA, 2023). Industry responds strongly to ETS1 pricing, with emissions falling from 10.68 to 4.86 MtCO₂ (-54.5%), demonstrating sectoral sensitivity to carbon price signals (Bataille et al., 2018). Energy sector emissions decline 66.3% under ETS2, reflecting renewable capacity expansion and fuel switching (Luderer et al., 2021).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line="360" w:lineRule="auto"/>
        <w:ind w:left="720" w:hanging="720"/>
      </w:pPr>
      <w:r>
        <w:rPr>
          <w:rFonts w:ascii="Times New Roman" w:hAnsi="Times New Roman"/>
          <w:sz w:val="24"/>
        </w:rPr>
        <w:t>Bataille, C., Åhman, M., Neuhoff, K., Nilsson, L. J., Fischedick, M., Lechtenböhmer, S., ... &amp; Rootzén, J. (2018). A review of technology and policy deep decarbonization pathway options for making energy-intensive industry production consistent with the Paris Agreement. Journal of Cleaner Production, 187, 960-973.</w:t>
      </w:r>
    </w:p>
    <w:p>
      <w:pPr>
        <w:spacing w:line="360" w:lineRule="auto"/>
        <w:ind w:left="720" w:hanging="720"/>
      </w:pPr>
      <w:r>
        <w:rPr>
          <w:rFonts w:ascii="Times New Roman" w:hAnsi="Times New Roman"/>
          <w:sz w:val="24"/>
        </w:rPr>
        <w:t>IEA. (2023). Energy Technology Perspectives 2023. International Energy Agency, Paris. https://www.iea.org/reports/energy-technology-perspectives-2023</w:t>
      </w:r>
    </w:p>
    <w:p>
      <w:pPr>
        <w:spacing w:line="360" w:lineRule="auto"/>
        <w:ind w:left="720" w:hanging="720"/>
      </w:pPr>
      <w:r>
        <w:rPr>
          <w:rFonts w:ascii="Times New Roman" w:hAnsi="Times New Roman"/>
          <w:sz w:val="24"/>
        </w:rPr>
        <w:t>IPCC. (2022). Climate Change 2022: Mitigation of Climate Change. Contribution of Working Group III to the Sixth Assessment Report of the Intergovernmental Panel on Climate Change. Cambridge University Press.</w:t>
      </w:r>
    </w:p>
    <w:p>
      <w:pPr>
        <w:spacing w:line="360" w:lineRule="auto"/>
        <w:ind w:left="720" w:hanging="720"/>
      </w:pPr>
      <w:r>
        <w:rPr>
          <w:rFonts w:ascii="Times New Roman" w:hAnsi="Times New Roman"/>
          <w:sz w:val="24"/>
        </w:rPr>
        <w:t>Luderer, G., Madeddu, S., Merfort, L., Ueckerdt, F., Pehl, M., Pietzcker, R., ... &amp; Bauer, N. (2021). Impact of declining renewable energy costs on electrification in low-emission scenarios. Nature Energy, 7(1), 32-42.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